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14" w:rsidRDefault="003C4F98" w:rsidP="00A20114">
      <w:pPr>
        <w:pStyle w:val="Nadpisneslovan"/>
        <w:jc w:val="center"/>
        <w:rPr>
          <w:caps w:val="0"/>
          <w:sz w:val="36"/>
        </w:rPr>
      </w:pPr>
      <w:r>
        <w:rPr>
          <w:caps w:val="0"/>
        </w:rPr>
        <w:t>Jez Varnsdorf – sanace průsaků ve středovém pilíři</w:t>
      </w: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  <w:proofErr w:type="gramStart"/>
      <w:r w:rsidRPr="00622F2D">
        <w:t>O</w:t>
      </w:r>
      <w:bookmarkStart w:id="0" w:name="_Ref179957293"/>
      <w:bookmarkEnd w:id="0"/>
      <w:r w:rsidRPr="00622F2D">
        <w:t>bsah :</w:t>
      </w:r>
      <w:proofErr w:type="gramEnd"/>
    </w:p>
    <w:p w:rsidR="00DA146C" w:rsidRPr="008D2EA4" w:rsidRDefault="00DA146C" w:rsidP="00B54A91">
      <w:pPr>
        <w:pStyle w:val="Nadpisneslovan"/>
        <w:rPr>
          <w:sz w:val="22"/>
          <w:highlight w:val="yellow"/>
        </w:rPr>
      </w:pPr>
    </w:p>
    <w:p w:rsidR="00C04B76" w:rsidRDefault="00C67BF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b/>
          <w:highlight w:val="yellow"/>
        </w:rPr>
        <w:fldChar w:fldCharType="begin"/>
      </w:r>
      <w:r>
        <w:rPr>
          <w:b/>
          <w:highlight w:val="yellow"/>
        </w:rPr>
        <w:instrText xml:space="preserve"> TOC \o "1-4" </w:instrText>
      </w:r>
      <w:r>
        <w:rPr>
          <w:b/>
          <w:highlight w:val="yellow"/>
        </w:rPr>
        <w:fldChar w:fldCharType="separate"/>
      </w:r>
      <w:bookmarkStart w:id="1" w:name="_GoBack"/>
      <w:bookmarkEnd w:id="1"/>
      <w:r w:rsidR="00C04B76">
        <w:rPr>
          <w:noProof/>
        </w:rPr>
        <w:t>I.</w:t>
      </w:r>
      <w:r w:rsidR="00C04B76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C04B76">
        <w:rPr>
          <w:noProof/>
        </w:rPr>
        <w:t>nÁVRH havarijního PLÁNU</w:t>
      </w:r>
      <w:r w:rsidR="00C04B76">
        <w:rPr>
          <w:noProof/>
        </w:rPr>
        <w:tab/>
      </w:r>
      <w:r w:rsidR="00C04B76">
        <w:rPr>
          <w:noProof/>
        </w:rPr>
        <w:fldChar w:fldCharType="begin"/>
      </w:r>
      <w:r w:rsidR="00C04B76">
        <w:rPr>
          <w:noProof/>
        </w:rPr>
        <w:instrText xml:space="preserve"> PAGEREF _Toc10210386 \h </w:instrText>
      </w:r>
      <w:r w:rsidR="00C04B76">
        <w:rPr>
          <w:noProof/>
        </w:rPr>
      </w:r>
      <w:r w:rsidR="00C04B76">
        <w:rPr>
          <w:noProof/>
        </w:rPr>
        <w:fldChar w:fldCharType="separate"/>
      </w:r>
      <w:r w:rsidR="00070D52">
        <w:rPr>
          <w:noProof/>
        </w:rPr>
        <w:t>2</w:t>
      </w:r>
      <w:r w:rsidR="00C04B76">
        <w:rPr>
          <w:noProof/>
        </w:rPr>
        <w:fldChar w:fldCharType="end"/>
      </w:r>
    </w:p>
    <w:p w:rsidR="00C04B76" w:rsidRDefault="00C04B7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ZÁKLADNÍ ÚDAJE</w:t>
      </w:r>
      <w:r>
        <w:tab/>
      </w:r>
      <w:r>
        <w:fldChar w:fldCharType="begin"/>
      </w:r>
      <w:r>
        <w:instrText xml:space="preserve"> PAGEREF _Toc10210387 \h </w:instrText>
      </w:r>
      <w:r>
        <w:fldChar w:fldCharType="separate"/>
      </w:r>
      <w:r w:rsidR="00070D52">
        <w:t>2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stavebníkovi</w:t>
      </w:r>
      <w:r>
        <w:tab/>
      </w:r>
      <w:r>
        <w:fldChar w:fldCharType="begin"/>
      </w:r>
      <w:r>
        <w:instrText xml:space="preserve"> PAGEREF _Toc10210388 \h </w:instrText>
      </w:r>
      <w:r>
        <w:fldChar w:fldCharType="separate"/>
      </w:r>
      <w:r w:rsidR="00070D52">
        <w:t>2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zpracovateli projektové dokumentace</w:t>
      </w:r>
      <w:r>
        <w:tab/>
      </w:r>
      <w:r>
        <w:fldChar w:fldCharType="begin"/>
      </w:r>
      <w:r>
        <w:instrText xml:space="preserve"> PAGEREF _Toc10210389 \h </w:instrText>
      </w:r>
      <w:r>
        <w:fldChar w:fldCharType="separate"/>
      </w:r>
      <w:r w:rsidR="00070D52">
        <w:t>3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_Toc10210390 \h </w:instrText>
      </w:r>
      <w:r>
        <w:fldChar w:fldCharType="separate"/>
      </w:r>
      <w:r w:rsidR="00070D52">
        <w:t>3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I.1.4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Odvodnění staveniště</w:t>
      </w:r>
      <w:r>
        <w:tab/>
      </w:r>
      <w:r>
        <w:fldChar w:fldCharType="begin"/>
      </w:r>
      <w:r>
        <w:instrText xml:space="preserve"> PAGEREF _Toc10210391 \h </w:instrText>
      </w:r>
      <w:r>
        <w:fldChar w:fldCharType="separate"/>
      </w:r>
      <w:r w:rsidR="00070D52">
        <w:t>4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I.1.5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Postup prací</w:t>
      </w:r>
      <w:r>
        <w:tab/>
      </w:r>
      <w:r>
        <w:fldChar w:fldCharType="begin"/>
      </w:r>
      <w:r>
        <w:instrText xml:space="preserve"> PAGEREF _Toc10210392 \h </w:instrText>
      </w:r>
      <w:r>
        <w:fldChar w:fldCharType="separate"/>
      </w:r>
      <w:r w:rsidR="00070D52">
        <w:t>4</w:t>
      </w:r>
      <w:r>
        <w:fldChar w:fldCharType="end"/>
      </w:r>
    </w:p>
    <w:p w:rsidR="00C04B76" w:rsidRDefault="00C04B7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HAVARIJNÍ PLÁN</w:t>
      </w:r>
      <w:r>
        <w:tab/>
      </w:r>
      <w:r>
        <w:fldChar w:fldCharType="begin"/>
      </w:r>
      <w:r>
        <w:instrText xml:space="preserve"> PAGEREF _Toc10210393 \h </w:instrText>
      </w:r>
      <w:r>
        <w:fldChar w:fldCharType="separate"/>
      </w:r>
      <w:r w:rsidR="00070D52">
        <w:t>6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Úvod</w:t>
      </w:r>
      <w:r>
        <w:tab/>
      </w:r>
      <w:r>
        <w:fldChar w:fldCharType="begin"/>
      </w:r>
      <w:r>
        <w:instrText xml:space="preserve"> PAGEREF _Toc10210394 \h </w:instrText>
      </w:r>
      <w:r>
        <w:fldChar w:fldCharType="separate"/>
      </w:r>
      <w:r w:rsidR="00070D52">
        <w:t>6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Náležitosti HP</w:t>
      </w:r>
      <w:r>
        <w:tab/>
      </w:r>
      <w:r>
        <w:fldChar w:fldCharType="begin"/>
      </w:r>
      <w:r>
        <w:instrText xml:space="preserve"> PAGEREF _Toc10210395 \h </w:instrText>
      </w:r>
      <w:r>
        <w:fldChar w:fldCharType="separate"/>
      </w:r>
      <w:r w:rsidR="00070D52">
        <w:t>6</w:t>
      </w:r>
      <w:r>
        <w:fldChar w:fldCharType="end"/>
      </w:r>
    </w:p>
    <w:p w:rsidR="00C04B76" w:rsidRDefault="00C04B7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I.2.3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_Toc10210396 \h </w:instrText>
      </w:r>
      <w:r>
        <w:fldChar w:fldCharType="separate"/>
      </w:r>
      <w:r w:rsidR="00070D52">
        <w:t>9</w:t>
      </w:r>
      <w:r>
        <w:fldChar w:fldCharType="end"/>
      </w:r>
    </w:p>
    <w:p w:rsidR="00DA146C" w:rsidRPr="008D2EA4" w:rsidRDefault="00C67BF5" w:rsidP="00B54A91">
      <w:pPr>
        <w:pStyle w:val="Textpoznpodarou"/>
        <w:rPr>
          <w:highlight w:val="yellow"/>
        </w:rPr>
      </w:pPr>
      <w:r>
        <w:rPr>
          <w:b/>
          <w:highlight w:val="yellow"/>
        </w:rPr>
        <w:fldChar w:fldCharType="end"/>
      </w:r>
    </w:p>
    <w:p w:rsidR="00DA146C" w:rsidRPr="008D2EA4" w:rsidRDefault="00DA146C" w:rsidP="00B54A91">
      <w:pPr>
        <w:pStyle w:val="Textpoznpodarou"/>
        <w:rPr>
          <w:highlight w:val="yellow"/>
        </w:rPr>
      </w:pPr>
    </w:p>
    <w:p w:rsidR="00CC7B48" w:rsidRDefault="00CC7B48">
      <w:pPr>
        <w:spacing w:after="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3C4F98" w:rsidRPr="003C4F98" w:rsidRDefault="003C4F98" w:rsidP="007A4EB0">
      <w:pPr>
        <w:pStyle w:val="Nadpis1"/>
      </w:pPr>
      <w:bookmarkStart w:id="2" w:name="_Toc297136949"/>
      <w:bookmarkStart w:id="3" w:name="_Toc297190473"/>
      <w:bookmarkStart w:id="4" w:name="_Toc304840580"/>
      <w:bookmarkStart w:id="5" w:name="_Toc297136950"/>
      <w:bookmarkStart w:id="6" w:name="_Toc297190474"/>
      <w:bookmarkStart w:id="7" w:name="_Toc304840581"/>
      <w:bookmarkStart w:id="8" w:name="_Toc10210386"/>
      <w:bookmarkEnd w:id="2"/>
      <w:bookmarkEnd w:id="3"/>
      <w:bookmarkEnd w:id="4"/>
      <w:bookmarkEnd w:id="5"/>
      <w:bookmarkEnd w:id="6"/>
      <w:bookmarkEnd w:id="7"/>
      <w:r>
        <w:lastRenderedPageBreak/>
        <w:t xml:space="preserve">nÁVRH </w:t>
      </w:r>
      <w:r w:rsidR="007A4EB0">
        <w:t>havarijního</w:t>
      </w:r>
      <w:r>
        <w:t xml:space="preserve"> PLÁNU</w:t>
      </w:r>
      <w:bookmarkEnd w:id="8"/>
    </w:p>
    <w:p w:rsidR="003C4F98" w:rsidRDefault="000B3E25" w:rsidP="003C4F98">
      <w:pPr>
        <w:pStyle w:val="Nadpis2"/>
      </w:pPr>
      <w:bookmarkStart w:id="9" w:name="_Toc10210387"/>
      <w:r>
        <w:t>ZÁKLADNÍ ÚDAJE</w:t>
      </w:r>
      <w:bookmarkEnd w:id="9"/>
    </w:p>
    <w:p w:rsidR="003C4F98" w:rsidRDefault="003C4F98" w:rsidP="003C4F98">
      <w:pPr>
        <w:spacing w:line="276" w:lineRule="auto"/>
        <w:rPr>
          <w:i/>
        </w:rPr>
      </w:pPr>
    </w:p>
    <w:p w:rsidR="003C4F98" w:rsidRPr="00CA377D" w:rsidRDefault="003C4F98" w:rsidP="003C4F98">
      <w:pPr>
        <w:spacing w:line="276" w:lineRule="auto"/>
        <w:rPr>
          <w:i/>
        </w:rPr>
      </w:pPr>
      <w:r w:rsidRPr="00CA377D">
        <w:rPr>
          <w:i/>
        </w:rPr>
        <w:t>a) Název stavby</w:t>
      </w:r>
    </w:p>
    <w:p w:rsidR="003C4F98" w:rsidRDefault="003C4F98" w:rsidP="003C4F98">
      <w:pPr>
        <w:spacing w:line="276" w:lineRule="auto"/>
      </w:pPr>
      <w:r>
        <w:t>Jez Varnsdorf – sanace průsaků ve středovém pilíři</w:t>
      </w:r>
    </w:p>
    <w:p w:rsidR="003C4F98" w:rsidRDefault="003C4F98" w:rsidP="003C4F98">
      <w:pPr>
        <w:tabs>
          <w:tab w:val="left" w:pos="2835"/>
        </w:tabs>
        <w:spacing w:line="276" w:lineRule="auto"/>
      </w:pPr>
      <w:r>
        <w:t>Kategorie stavby:</w:t>
      </w:r>
      <w:r>
        <w:tab/>
        <w:t>Vodohospodářská stavba</w:t>
      </w:r>
    </w:p>
    <w:p w:rsidR="003C4F98" w:rsidRDefault="003C4F98" w:rsidP="003C4F98">
      <w:pPr>
        <w:tabs>
          <w:tab w:val="left" w:pos="2835"/>
        </w:tabs>
        <w:spacing w:after="0" w:line="276" w:lineRule="auto"/>
        <w:ind w:left="2835" w:hanging="2835"/>
      </w:pPr>
      <w:r>
        <w:t>Účel stavby:</w:t>
      </w:r>
      <w:r>
        <w:tab/>
        <w:t>Zajištění stability objektů jezové konstrukce a podjezí</w:t>
      </w:r>
    </w:p>
    <w:p w:rsidR="003C4F98" w:rsidRDefault="003C4F98" w:rsidP="003C4F98">
      <w:pPr>
        <w:tabs>
          <w:tab w:val="left" w:pos="2835"/>
        </w:tabs>
        <w:spacing w:before="240" w:line="276" w:lineRule="auto"/>
        <w:ind w:left="2835" w:hanging="2835"/>
      </w:pPr>
      <w:r>
        <w:t>Stupeň dokumentace:</w:t>
      </w:r>
      <w:r>
        <w:tab/>
        <w:t>DSJ (DSP, DPS)</w:t>
      </w:r>
    </w:p>
    <w:p w:rsidR="003C4F98" w:rsidRPr="0081391B" w:rsidRDefault="003C4F98" w:rsidP="003C4F98">
      <w:pPr>
        <w:tabs>
          <w:tab w:val="left" w:pos="2835"/>
        </w:tabs>
        <w:spacing w:after="0" w:line="276" w:lineRule="auto"/>
        <w:ind w:left="2835" w:hanging="2835"/>
      </w:pPr>
      <w:r w:rsidRPr="0081391B">
        <w:t>Vodní tok:</w:t>
      </w:r>
      <w:r w:rsidRPr="0081391B">
        <w:tab/>
      </w:r>
      <w:proofErr w:type="spellStart"/>
      <w:r w:rsidRPr="0081391B">
        <w:t>Mandava</w:t>
      </w:r>
      <w:proofErr w:type="spellEnd"/>
      <w:r w:rsidRPr="0081391B">
        <w:t xml:space="preserve">, </w:t>
      </w:r>
      <w:proofErr w:type="gramStart"/>
      <w:r w:rsidRPr="0081391B">
        <w:t>ř.km</w:t>
      </w:r>
      <w:proofErr w:type="gramEnd"/>
      <w:r w:rsidRPr="0081391B">
        <w:t xml:space="preserve"> </w:t>
      </w:r>
      <w:r>
        <w:t>4,140</w:t>
      </w:r>
      <w:r w:rsidRPr="0081391B">
        <w:t>, ČHP 2-04-08-00</w:t>
      </w:r>
      <w:r>
        <w:t>5</w:t>
      </w:r>
    </w:p>
    <w:p w:rsidR="003C4F98" w:rsidRDefault="003C4F98" w:rsidP="003C4F98">
      <w:pPr>
        <w:tabs>
          <w:tab w:val="left" w:pos="2835"/>
        </w:tabs>
        <w:spacing w:after="0" w:line="276" w:lineRule="auto"/>
        <w:ind w:left="2835" w:hanging="2835"/>
      </w:pPr>
    </w:p>
    <w:p w:rsidR="003C4F98" w:rsidRDefault="003C4F98" w:rsidP="003C4F98">
      <w:pPr>
        <w:spacing w:line="276" w:lineRule="auto"/>
      </w:pPr>
      <w:r>
        <w:rPr>
          <w:i/>
        </w:rPr>
        <w:t>b</w:t>
      </w:r>
      <w:r w:rsidRPr="00CA377D">
        <w:rPr>
          <w:i/>
        </w:rPr>
        <w:t xml:space="preserve">) </w:t>
      </w:r>
      <w:r>
        <w:rPr>
          <w:i/>
        </w:rPr>
        <w:t>Umístění stavby</w:t>
      </w:r>
    </w:p>
    <w:p w:rsidR="003C4F98" w:rsidRDefault="003C4F98" w:rsidP="003C4F98">
      <w:pPr>
        <w:spacing w:line="276" w:lineRule="auto"/>
        <w:ind w:left="2835" w:hanging="2835"/>
      </w:pPr>
      <w:r>
        <w:t>Místo stavby:</w:t>
      </w:r>
      <w:r>
        <w:tab/>
        <w:t>obec Varnsdorf (okres Děčín)</w:t>
      </w:r>
    </w:p>
    <w:p w:rsidR="003C4F98" w:rsidRDefault="003C4F98" w:rsidP="003C4F98">
      <w:pPr>
        <w:spacing w:line="276" w:lineRule="auto"/>
        <w:ind w:left="2835" w:hanging="2835"/>
      </w:pPr>
      <w:r>
        <w:t>Katastrální území:</w:t>
      </w:r>
      <w:r>
        <w:tab/>
        <w:t>Varnsdorf</w:t>
      </w:r>
      <w:r w:rsidRPr="009C5041">
        <w:t xml:space="preserve"> </w:t>
      </w:r>
      <w:r>
        <w:t>(776971)</w:t>
      </w:r>
    </w:p>
    <w:p w:rsidR="003C4F98" w:rsidRDefault="003C4F98" w:rsidP="003C4F98">
      <w:pPr>
        <w:spacing w:after="0" w:line="276" w:lineRule="auto"/>
        <w:ind w:left="2835" w:hanging="2835"/>
      </w:pPr>
      <w:r>
        <w:t>Dotčené pozemky:</w:t>
      </w:r>
      <w:r>
        <w:tab/>
      </w:r>
      <w:proofErr w:type="spellStart"/>
      <w:proofErr w:type="gramStart"/>
      <w:r w:rsidRPr="00D0126C">
        <w:t>parc</w:t>
      </w:r>
      <w:proofErr w:type="gramEnd"/>
      <w:r w:rsidRPr="00D0126C">
        <w:t>.</w:t>
      </w:r>
      <w:proofErr w:type="gramStart"/>
      <w:r w:rsidRPr="00D0126C">
        <w:t>č</w:t>
      </w:r>
      <w:proofErr w:type="spellEnd"/>
      <w:r w:rsidRPr="00D0126C">
        <w:t>.</w:t>
      </w:r>
      <w:proofErr w:type="gramEnd"/>
      <w:r w:rsidRPr="00D0126C">
        <w:t xml:space="preserve"> 8186/11, 211, 223, 269, 287/1, 8186/1, 8186/10.</w:t>
      </w:r>
    </w:p>
    <w:p w:rsidR="003C4F98" w:rsidRDefault="003C4F98" w:rsidP="003C4F98">
      <w:pPr>
        <w:spacing w:after="0" w:line="276" w:lineRule="auto"/>
        <w:ind w:left="2835" w:hanging="2835"/>
      </w:pPr>
    </w:p>
    <w:p w:rsidR="003C4F98" w:rsidRDefault="003C4F98" w:rsidP="003C4F98">
      <w:pPr>
        <w:spacing w:line="276" w:lineRule="auto"/>
      </w:pPr>
      <w:r>
        <w:rPr>
          <w:i/>
        </w:rPr>
        <w:t>c</w:t>
      </w:r>
      <w:r w:rsidRPr="00CA377D">
        <w:rPr>
          <w:i/>
        </w:rPr>
        <w:t xml:space="preserve">) </w:t>
      </w:r>
      <w:r>
        <w:rPr>
          <w:i/>
        </w:rPr>
        <w:t>Předmět dokumentace</w:t>
      </w:r>
    </w:p>
    <w:p w:rsidR="003C4F98" w:rsidRPr="00E973D4" w:rsidRDefault="003C4F98" w:rsidP="003C4F98">
      <w:pPr>
        <w:spacing w:line="276" w:lineRule="auto"/>
      </w:pPr>
      <w:r w:rsidRPr="00E973D4">
        <w:t xml:space="preserve">Předmětem dokumentace je </w:t>
      </w:r>
      <w:r>
        <w:t>obnova</w:t>
      </w:r>
      <w:r w:rsidRPr="00E973D4">
        <w:t xml:space="preserve"> stavebních částí jezové konstrukce, která je navržena v následujícím rozsahu:</w:t>
      </w:r>
    </w:p>
    <w:p w:rsidR="003C4F98" w:rsidRPr="001361D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r>
        <w:rPr>
          <w:szCs w:val="24"/>
        </w:rPr>
        <w:t xml:space="preserve">stabilizace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pilířů pohyblivého jezu,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r w:rsidRPr="00E973D4">
        <w:rPr>
          <w:szCs w:val="24"/>
        </w:rPr>
        <w:t>výměna nebo doplnění porušených</w:t>
      </w:r>
      <w:r>
        <w:rPr>
          <w:szCs w:val="24"/>
        </w:rPr>
        <w:t xml:space="preserve"> (degradovaných)</w:t>
      </w:r>
      <w:r w:rsidRPr="00E973D4">
        <w:rPr>
          <w:szCs w:val="24"/>
        </w:rPr>
        <w:t xml:space="preserve"> kamenů na pilířích ve spodní části jezu, 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proofErr w:type="spellStart"/>
      <w:r w:rsidRPr="00E973D4">
        <w:rPr>
          <w:szCs w:val="24"/>
        </w:rPr>
        <w:t>přespárování</w:t>
      </w:r>
      <w:proofErr w:type="spellEnd"/>
      <w:r w:rsidRPr="00E973D4">
        <w:rPr>
          <w:szCs w:val="24"/>
        </w:rPr>
        <w:t xml:space="preserve"> </w:t>
      </w:r>
      <w:r>
        <w:rPr>
          <w:szCs w:val="24"/>
        </w:rPr>
        <w:t xml:space="preserve">přelivných </w:t>
      </w:r>
      <w:r w:rsidRPr="00E973D4">
        <w:rPr>
          <w:szCs w:val="24"/>
        </w:rPr>
        <w:t xml:space="preserve">konstrukcí </w:t>
      </w:r>
      <w:r>
        <w:rPr>
          <w:szCs w:val="24"/>
        </w:rPr>
        <w:t xml:space="preserve">pohyblivého jezu, </w:t>
      </w:r>
      <w:r w:rsidRPr="00E973D4">
        <w:rPr>
          <w:szCs w:val="24"/>
        </w:rPr>
        <w:t>pilířů</w:t>
      </w:r>
      <w:r>
        <w:rPr>
          <w:szCs w:val="24"/>
        </w:rPr>
        <w:t xml:space="preserve">, podjezí pohyblivého jezu a </w:t>
      </w:r>
      <w:proofErr w:type="spellStart"/>
      <w:r>
        <w:rPr>
          <w:szCs w:val="24"/>
        </w:rPr>
        <w:t>mezipilíře</w:t>
      </w:r>
      <w:proofErr w:type="spellEnd"/>
      <w:r w:rsidRPr="00E973D4">
        <w:rPr>
          <w:szCs w:val="24"/>
        </w:rPr>
        <w:t xml:space="preserve">, 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r>
        <w:rPr>
          <w:szCs w:val="24"/>
        </w:rPr>
        <w:t>obnova degradovaných konstrukcí betonových prahů v podjezí pohyblivého jezu,</w:t>
      </w:r>
      <w:r w:rsidRPr="00E973D4">
        <w:rPr>
          <w:szCs w:val="24"/>
        </w:rPr>
        <w:t xml:space="preserve"> </w:t>
      </w:r>
    </w:p>
    <w:p w:rsid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r w:rsidRPr="00E973D4">
        <w:rPr>
          <w:szCs w:val="24"/>
        </w:rPr>
        <w:t xml:space="preserve">provedení injekční clony z povrchu </w:t>
      </w:r>
      <w:r>
        <w:rPr>
          <w:szCs w:val="24"/>
        </w:rPr>
        <w:t xml:space="preserve">levého pilíře původního pohyblivého jezu a </w:t>
      </w:r>
      <w:proofErr w:type="spellStart"/>
      <w:r w:rsidRPr="00E973D4">
        <w:rPr>
          <w:szCs w:val="24"/>
        </w:rPr>
        <w:t>mezipilíře</w:t>
      </w:r>
      <w:proofErr w:type="spellEnd"/>
      <w:r w:rsidRPr="00E973D4">
        <w:rPr>
          <w:szCs w:val="24"/>
        </w:rPr>
        <w:t xml:space="preserve"> do jeho výplně a podloží</w:t>
      </w:r>
      <w:r>
        <w:rPr>
          <w:szCs w:val="24"/>
        </w:rPr>
        <w:t>,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r w:rsidRPr="00E973D4">
        <w:rPr>
          <w:szCs w:val="24"/>
        </w:rPr>
        <w:t xml:space="preserve">doplnění odvodnění </w:t>
      </w:r>
      <w:proofErr w:type="spellStart"/>
      <w:r w:rsidRPr="00E973D4">
        <w:rPr>
          <w:szCs w:val="24"/>
        </w:rPr>
        <w:t>mezipilíře</w:t>
      </w:r>
      <w:proofErr w:type="spellEnd"/>
      <w:r w:rsidRPr="00E973D4">
        <w:rPr>
          <w:szCs w:val="24"/>
        </w:rPr>
        <w:t xml:space="preserve"> </w:t>
      </w:r>
      <w:proofErr w:type="spellStart"/>
      <w:r w:rsidRPr="00E973D4">
        <w:rPr>
          <w:szCs w:val="24"/>
        </w:rPr>
        <w:t>odvrty</w:t>
      </w:r>
      <w:proofErr w:type="spellEnd"/>
      <w:r w:rsidRPr="00E973D4">
        <w:rPr>
          <w:szCs w:val="24"/>
        </w:rPr>
        <w:t xml:space="preserve">, </w:t>
      </w:r>
      <w:r>
        <w:rPr>
          <w:szCs w:val="24"/>
        </w:rPr>
        <w:t>které budou provedeny v nižší výškové úrovni,</w:t>
      </w:r>
    </w:p>
    <w:p w:rsidR="003C4F98" w:rsidRP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  <w:rPr>
          <w:szCs w:val="24"/>
        </w:rPr>
      </w:pPr>
      <w:r>
        <w:rPr>
          <w:szCs w:val="24"/>
        </w:rPr>
        <w:t>zajištění dna podjezí pevného jezu</w:t>
      </w:r>
      <w:r w:rsidRPr="00E973D4">
        <w:rPr>
          <w:szCs w:val="24"/>
        </w:rPr>
        <w:t xml:space="preserve">. </w:t>
      </w:r>
      <w:bookmarkStart w:id="10" w:name="_Toc1717979"/>
    </w:p>
    <w:p w:rsidR="003C4F98" w:rsidRPr="00D0126C" w:rsidRDefault="003C4F98" w:rsidP="003C4F98">
      <w:pPr>
        <w:pStyle w:val="Nadpis3"/>
      </w:pPr>
      <w:bookmarkStart w:id="11" w:name="_Toc10210388"/>
      <w:r w:rsidRPr="00D0126C">
        <w:t>Údaje o stavebníkovi</w:t>
      </w:r>
      <w:bookmarkEnd w:id="10"/>
      <w:bookmarkEnd w:id="11"/>
    </w:p>
    <w:p w:rsidR="003C4F98" w:rsidRPr="00D0126C" w:rsidRDefault="003C4F98" w:rsidP="003C4F98">
      <w:pPr>
        <w:spacing w:line="276" w:lineRule="auto"/>
      </w:pPr>
      <w:r w:rsidRPr="00D0126C">
        <w:t>Povodí Ohře, státní podnik</w:t>
      </w:r>
    </w:p>
    <w:p w:rsidR="003C4F98" w:rsidRPr="00D0126C" w:rsidRDefault="003C4F98" w:rsidP="003C4F98">
      <w:pPr>
        <w:tabs>
          <w:tab w:val="left" w:pos="2835"/>
        </w:tabs>
        <w:spacing w:line="276" w:lineRule="auto"/>
      </w:pPr>
      <w:r w:rsidRPr="00D0126C">
        <w:t>Sídlo:</w:t>
      </w:r>
      <w:r w:rsidRPr="00D0126C">
        <w:tab/>
      </w:r>
      <w:r w:rsidRPr="00D0126C">
        <w:tab/>
        <w:t>Bezručova 4219, 430 03 Chomutov</w:t>
      </w:r>
    </w:p>
    <w:p w:rsidR="003C4F98" w:rsidRDefault="003C4F98" w:rsidP="003C4F98">
      <w:pPr>
        <w:tabs>
          <w:tab w:val="left" w:pos="2835"/>
        </w:tabs>
        <w:spacing w:line="276" w:lineRule="auto"/>
      </w:pPr>
      <w:r w:rsidRPr="00D0126C">
        <w:t>IČ, DIČ:</w:t>
      </w:r>
      <w:r w:rsidRPr="00D0126C">
        <w:tab/>
      </w:r>
      <w:r w:rsidRPr="00D0126C">
        <w:tab/>
        <w:t>70889988, CZ70889988</w:t>
      </w:r>
      <w:bookmarkStart w:id="12" w:name="_Toc1717980"/>
    </w:p>
    <w:p w:rsidR="003C4F98" w:rsidRDefault="003C4F98">
      <w:pPr>
        <w:spacing w:after="0"/>
        <w:jc w:val="left"/>
        <w:rPr>
          <w:b/>
          <w:sz w:val="26"/>
        </w:rPr>
      </w:pPr>
      <w:r>
        <w:br w:type="page"/>
      </w:r>
    </w:p>
    <w:p w:rsidR="003C4F98" w:rsidRPr="00D0126C" w:rsidRDefault="003C4F98" w:rsidP="003C4F98">
      <w:pPr>
        <w:pStyle w:val="Nadpis3"/>
      </w:pPr>
      <w:bookmarkStart w:id="13" w:name="_Toc10210389"/>
      <w:r w:rsidRPr="00D0126C">
        <w:lastRenderedPageBreak/>
        <w:t>Údaje o zpracovateli projektové dokumentace</w:t>
      </w:r>
      <w:bookmarkEnd w:id="12"/>
      <w:bookmarkEnd w:id="13"/>
    </w:p>
    <w:p w:rsidR="003C4F98" w:rsidRPr="00D0126C" w:rsidRDefault="003C4F98" w:rsidP="003C4F98">
      <w:pPr>
        <w:spacing w:after="0" w:line="276" w:lineRule="auto"/>
      </w:pPr>
      <w:r w:rsidRPr="00D0126C">
        <w:t>VODNÍ DÍLA – TBD a.s.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Sídlo:</w:t>
      </w:r>
      <w:r w:rsidRPr="00D0126C">
        <w:tab/>
      </w:r>
      <w:r w:rsidRPr="00D0126C">
        <w:tab/>
        <w:t>Hybernská 1617/40, 110 00 Praha 1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Zástupce:</w:t>
      </w:r>
      <w:r w:rsidRPr="00D0126C">
        <w:tab/>
      </w:r>
      <w:r w:rsidRPr="00D0126C">
        <w:tab/>
        <w:t xml:space="preserve">Ing. Miloš Sedláček, prokurista 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Autorizovaný inženýr:</w:t>
      </w:r>
      <w:r w:rsidRPr="00D0126C">
        <w:tab/>
      </w:r>
      <w:r w:rsidRPr="00D0126C">
        <w:tab/>
        <w:t>Ing. Tomáš Klemša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Číslo autorizace:</w:t>
      </w:r>
      <w:r w:rsidRPr="00D0126C">
        <w:tab/>
      </w:r>
      <w:r w:rsidRPr="00D0126C">
        <w:tab/>
        <w:t>0009170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Specializace:</w:t>
      </w:r>
      <w:r w:rsidRPr="00D0126C">
        <w:tab/>
      </w:r>
      <w:r w:rsidRPr="00D0126C">
        <w:tab/>
        <w:t>stavby vodního hospodářství a krajinného inženýrství</w:t>
      </w:r>
    </w:p>
    <w:p w:rsidR="003C4F98" w:rsidRPr="00D0126C" w:rsidRDefault="003C4F98" w:rsidP="003C4F98">
      <w:pPr>
        <w:tabs>
          <w:tab w:val="left" w:pos="2835"/>
        </w:tabs>
        <w:spacing w:line="276" w:lineRule="auto"/>
      </w:pPr>
    </w:p>
    <w:p w:rsidR="003C4F98" w:rsidRPr="003C4F98" w:rsidRDefault="003C4F98" w:rsidP="003C4F98">
      <w:pPr>
        <w:pStyle w:val="Nadpis3"/>
      </w:pPr>
      <w:bookmarkStart w:id="14" w:name="_Toc1717981"/>
      <w:bookmarkStart w:id="15" w:name="_Toc10210390"/>
      <w:r w:rsidRPr="00E973D4">
        <w:t>Členění stavby na objekty a technická a technologická zařízení</w:t>
      </w:r>
      <w:bookmarkEnd w:id="14"/>
      <w:bookmarkEnd w:id="15"/>
    </w:p>
    <w:p w:rsidR="003C4F98" w:rsidRPr="00E973D4" w:rsidRDefault="003C4F98" w:rsidP="003C4F98">
      <w:pPr>
        <w:spacing w:after="0" w:line="276" w:lineRule="auto"/>
      </w:pPr>
      <w:r w:rsidRPr="00E973D4">
        <w:t>Stavba je rozdělena</w:t>
      </w:r>
      <w:r w:rsidR="000B306B">
        <w:t xml:space="preserve"> na následující stavební objekty</w:t>
      </w:r>
      <w:r w:rsidRPr="00E973D4">
        <w:t xml:space="preserve"> a technologická zařízení:</w:t>
      </w:r>
    </w:p>
    <w:p w:rsidR="003C4F98" w:rsidRDefault="003C4F98" w:rsidP="003C4F98">
      <w:pPr>
        <w:rPr>
          <w:b/>
        </w:rPr>
      </w:pP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t>SO 01 – SANACE MEZIPILÍŘE</w:t>
      </w:r>
      <w:r>
        <w:rPr>
          <w:b/>
        </w:rPr>
        <w:t xml:space="preserve"> 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 w:rsidRPr="00E973D4">
        <w:t>Vybudování injekční těsnící clony z</w:t>
      </w:r>
      <w:r>
        <w:t> </w:t>
      </w:r>
      <w:r w:rsidRPr="00E973D4">
        <w:t>povrchu</w:t>
      </w:r>
      <w:r>
        <w:t xml:space="preserve"> levého pilíře původního pohyblivého jezu a</w:t>
      </w:r>
      <w:r w:rsidRPr="00E973D4">
        <w:t xml:space="preserve"> </w:t>
      </w:r>
      <w:proofErr w:type="spellStart"/>
      <w:r w:rsidRPr="00E973D4">
        <w:t>mezipilíře</w:t>
      </w:r>
      <w:proofErr w:type="spellEnd"/>
      <w:r w:rsidRPr="00E973D4">
        <w:t xml:space="preserve"> do podloží.</w:t>
      </w:r>
    </w:p>
    <w:p w:rsid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 w:rsidRPr="00E973D4">
        <w:t>Provedení nových odvodňovacích vrtů v</w:t>
      </w:r>
      <w:r>
        <w:t>e svislé stěně v </w:t>
      </w:r>
      <w:proofErr w:type="spellStart"/>
      <w:r w:rsidRPr="00E973D4">
        <w:t>mezipilíři</w:t>
      </w:r>
      <w:proofErr w:type="spellEnd"/>
      <w:r>
        <w:t xml:space="preserve"> na straně do podjezí pohyblivého jezu</w:t>
      </w:r>
      <w:r w:rsidRPr="00E973D4">
        <w:t>.</w:t>
      </w:r>
    </w:p>
    <w:p w:rsid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>
        <w:t>Výměna degradovaných kamenných kvádrů ve spodní části levého pilíře původního pohyblivého jezu.</w:t>
      </w:r>
    </w:p>
    <w:p w:rsid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>
        <w:t xml:space="preserve">Snížení levého pilíře původního pohyblivého jezu z důvodů zkapacitnění jezového profilu a stabilizace </w:t>
      </w:r>
      <w:proofErr w:type="spellStart"/>
      <w:r>
        <w:t>zhlaví</w:t>
      </w:r>
      <w:proofErr w:type="spellEnd"/>
      <w:r>
        <w:t xml:space="preserve"> kotvenou dobetonávkou.</w:t>
      </w:r>
    </w:p>
    <w:p w:rsid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>
        <w:t xml:space="preserve">Očištění a </w:t>
      </w:r>
      <w:proofErr w:type="spellStart"/>
      <w:r>
        <w:t>přespárování</w:t>
      </w:r>
      <w:proofErr w:type="spellEnd"/>
      <w:r>
        <w:t xml:space="preserve"> ploch levého pilíře původního pohyblivého jezu a </w:t>
      </w:r>
      <w:proofErr w:type="spellStart"/>
      <w:r>
        <w:t>mezipilíře</w:t>
      </w:r>
      <w:proofErr w:type="spellEnd"/>
      <w:r>
        <w:t>.</w:t>
      </w:r>
    </w:p>
    <w:p w:rsidR="003C4F98" w:rsidRDefault="003C4F98" w:rsidP="003C4F98">
      <w:pPr>
        <w:rPr>
          <w:b/>
        </w:rPr>
      </w:pP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t>SO 02 – KONSTRUKCE ZDIVA</w:t>
      </w:r>
      <w:r>
        <w:rPr>
          <w:b/>
        </w:rPr>
        <w:t xml:space="preserve"> JEZU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 w:rsidRPr="00E973D4">
        <w:t xml:space="preserve">Očištění konstrukcí zdiva </w:t>
      </w:r>
      <w:r>
        <w:t>pravého</w:t>
      </w:r>
      <w:r w:rsidRPr="00E973D4">
        <w:t xml:space="preserve"> pilíře pohyblivého jezu, pravého pole pohyblivého jezu, středového pilíře pohyblivého jezu, levého pole původního pohyblivého jezu </w:t>
      </w:r>
      <w:r>
        <w:t>od náletů a travin</w:t>
      </w:r>
    </w:p>
    <w:p w:rsidR="003C4F98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 w:rsidRPr="00E973D4">
        <w:t>Výměna porušených (degradovaných) pískovcových kvádrů</w:t>
      </w:r>
      <w:r>
        <w:t xml:space="preserve"> v pilířích v jejich spodní části</w:t>
      </w:r>
      <w:r w:rsidRPr="00E973D4">
        <w:t>.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>
        <w:t xml:space="preserve">Stabilizace </w:t>
      </w:r>
      <w:proofErr w:type="spellStart"/>
      <w:r>
        <w:t>zhlaví</w:t>
      </w:r>
      <w:proofErr w:type="spellEnd"/>
      <w:r>
        <w:t xml:space="preserve"> pravého a středového pilíře.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proofErr w:type="spellStart"/>
      <w:r w:rsidRPr="00E973D4">
        <w:t>Přespárování</w:t>
      </w:r>
      <w:proofErr w:type="spellEnd"/>
      <w:r w:rsidRPr="00E973D4">
        <w:t xml:space="preserve"> výše popsaných konstrukcí zdiva.</w:t>
      </w:r>
    </w:p>
    <w:p w:rsidR="003C4F98" w:rsidRDefault="003C4F98" w:rsidP="003C4F98">
      <w:pPr>
        <w:rPr>
          <w:b/>
        </w:rPr>
      </w:pP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t>SO 03 – ÚPRAVY V POD</w:t>
      </w:r>
      <w:r>
        <w:rPr>
          <w:b/>
        </w:rPr>
        <w:t>JEZÍ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 w:rsidRPr="00E973D4">
        <w:t>Vyčištění pod</w:t>
      </w:r>
      <w:r w:rsidR="00F74C03">
        <w:t>jezí</w:t>
      </w:r>
      <w:r w:rsidRPr="00E973D4">
        <w:t xml:space="preserve"> od náletů a travin.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>
        <w:t>Obnova degradovaných betonových prahů v podjezí s navázáním na opevnění koryta řeky</w:t>
      </w:r>
      <w:r w:rsidRPr="00E973D4">
        <w:t>.</w:t>
      </w:r>
    </w:p>
    <w:p w:rsidR="003C4F98" w:rsidRPr="00FC3F77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proofErr w:type="spellStart"/>
      <w:r w:rsidRPr="00460519">
        <w:rPr>
          <w:color w:val="000000"/>
        </w:rPr>
        <w:t>Přespárování</w:t>
      </w:r>
      <w:proofErr w:type="spellEnd"/>
      <w:r w:rsidRPr="00460519">
        <w:rPr>
          <w:color w:val="000000"/>
        </w:rPr>
        <w:t xml:space="preserve"> opevnění </w:t>
      </w:r>
      <w:r>
        <w:rPr>
          <w:color w:val="000000"/>
        </w:rPr>
        <w:t>v podjezí pohyblivého jezu.</w:t>
      </w:r>
    </w:p>
    <w:p w:rsidR="003C4F98" w:rsidRPr="00FC3F77" w:rsidRDefault="003C4F98" w:rsidP="00CD01ED">
      <w:pPr>
        <w:pStyle w:val="Odstavecseseznamem"/>
        <w:numPr>
          <w:ilvl w:val="0"/>
          <w:numId w:val="9"/>
        </w:numPr>
        <w:tabs>
          <w:tab w:val="left" w:pos="709"/>
        </w:tabs>
        <w:spacing w:after="160" w:line="259" w:lineRule="auto"/>
      </w:pPr>
      <w:r>
        <w:t>Zajištění dna podjezí pevného jezu</w:t>
      </w:r>
      <w:r w:rsidRPr="00E973D4">
        <w:t>.</w:t>
      </w:r>
    </w:p>
    <w:p w:rsidR="003C4F98" w:rsidRDefault="003C4F98" w:rsidP="003C4F98">
      <w:pPr>
        <w:rPr>
          <w:b/>
        </w:rPr>
      </w:pPr>
    </w:p>
    <w:p w:rsidR="000B3E25" w:rsidRDefault="000B3E25">
      <w:pPr>
        <w:spacing w:after="0"/>
        <w:jc w:val="left"/>
        <w:rPr>
          <w:b/>
        </w:rPr>
      </w:pPr>
      <w:r>
        <w:rPr>
          <w:b/>
        </w:rPr>
        <w:br w:type="page"/>
      </w: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lastRenderedPageBreak/>
        <w:t>VON – VEDLEJŠÍ ROZPOČTOVÉ NÁKLADY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spacing w:after="160" w:line="259" w:lineRule="auto"/>
        <w:jc w:val="left"/>
      </w:pPr>
      <w:r w:rsidRPr="00E973D4">
        <w:t>Vybudování zařízení staveniště a jeho odstranění po dokončení stavebních prací.</w:t>
      </w:r>
    </w:p>
    <w:p w:rsidR="003C4F98" w:rsidRPr="00E973D4" w:rsidRDefault="003C4F98" w:rsidP="00CD01ED">
      <w:pPr>
        <w:pStyle w:val="Odstavecseseznamem"/>
        <w:numPr>
          <w:ilvl w:val="0"/>
          <w:numId w:val="9"/>
        </w:numPr>
        <w:spacing w:after="160" w:line="259" w:lineRule="auto"/>
        <w:jc w:val="left"/>
      </w:pPr>
      <w:r w:rsidRPr="00E973D4">
        <w:t xml:space="preserve">Vybudování dočasného sjezdu do </w:t>
      </w:r>
      <w:r w:rsidR="00F74C03">
        <w:t>podjezí</w:t>
      </w:r>
      <w:r w:rsidRPr="00E973D4">
        <w:t xml:space="preserve"> a jeho odstranění po dokončení stavebních prací.</w:t>
      </w:r>
    </w:p>
    <w:p w:rsidR="003C4F98" w:rsidRPr="00EB6C6E" w:rsidRDefault="003C4F98" w:rsidP="00CD01ED">
      <w:pPr>
        <w:pStyle w:val="Odstavecseseznamem"/>
        <w:numPr>
          <w:ilvl w:val="0"/>
          <w:numId w:val="9"/>
        </w:numPr>
        <w:spacing w:after="160" w:line="259" w:lineRule="auto"/>
        <w:jc w:val="left"/>
      </w:pPr>
      <w:r w:rsidRPr="00E973D4">
        <w:t>Vybudování dočasné jímky v</w:t>
      </w:r>
      <w:r>
        <w:t> </w:t>
      </w:r>
      <w:r w:rsidRPr="00E973D4">
        <w:t>nadjezí</w:t>
      </w:r>
      <w:r>
        <w:t xml:space="preserve"> (provizorní nasazená jímka) atd.</w:t>
      </w:r>
    </w:p>
    <w:p w:rsidR="003C4F98" w:rsidRPr="003C4F98" w:rsidRDefault="003C4F98" w:rsidP="003C4F98">
      <w:pPr>
        <w:pStyle w:val="Nadpis3"/>
      </w:pPr>
      <w:bookmarkStart w:id="16" w:name="_Toc475426810"/>
      <w:bookmarkStart w:id="17" w:name="_Toc7162300"/>
      <w:bookmarkStart w:id="18" w:name="_Toc10210391"/>
      <w:r w:rsidRPr="00B05318">
        <w:t>Odvodnění staveniště</w:t>
      </w:r>
      <w:bookmarkEnd w:id="16"/>
      <w:bookmarkEnd w:id="17"/>
      <w:bookmarkEnd w:id="18"/>
    </w:p>
    <w:p w:rsidR="00F74C03" w:rsidRPr="00B05318" w:rsidRDefault="00F74C03" w:rsidP="00F74C03">
      <w:pPr>
        <w:rPr>
          <w:szCs w:val="24"/>
        </w:rPr>
      </w:pPr>
      <w:bookmarkStart w:id="19" w:name="_Toc475426812"/>
      <w:bookmarkStart w:id="20" w:name="_Toc7162302"/>
      <w:r w:rsidRPr="00B05318">
        <w:rPr>
          <w:szCs w:val="24"/>
        </w:rPr>
        <w:t xml:space="preserve">Provedení stavby se předpokládá v období minimálních průtoků (letní a podzimní měsíce). Během realizace stavby, především při provádění injektáže </w:t>
      </w:r>
      <w:proofErr w:type="spellStart"/>
      <w:r w:rsidRPr="00B05318">
        <w:rPr>
          <w:szCs w:val="24"/>
        </w:rPr>
        <w:t>mezipilíře</w:t>
      </w:r>
      <w:proofErr w:type="spellEnd"/>
      <w:r w:rsidRPr="00B05318">
        <w:rPr>
          <w:szCs w:val="24"/>
        </w:rPr>
        <w:t xml:space="preserve"> z návodní strany, bude prováděno při vypuštěné zdrži (eliminace rizika vyplavení </w:t>
      </w:r>
      <w:proofErr w:type="spellStart"/>
      <w:r w:rsidRPr="00B05318">
        <w:rPr>
          <w:szCs w:val="24"/>
        </w:rPr>
        <w:t>jílocementové</w:t>
      </w:r>
      <w:proofErr w:type="spellEnd"/>
      <w:r w:rsidRPr="00B05318">
        <w:rPr>
          <w:szCs w:val="24"/>
        </w:rPr>
        <w:t xml:space="preserve"> směsi do zdrže). Voda bude převáděna pravým polem pohyblivého jezu.</w:t>
      </w:r>
    </w:p>
    <w:p w:rsidR="00F74C03" w:rsidRDefault="00F74C03" w:rsidP="00F74C03">
      <w:pPr>
        <w:rPr>
          <w:szCs w:val="24"/>
        </w:rPr>
      </w:pPr>
      <w:r w:rsidRPr="00B05318">
        <w:rPr>
          <w:szCs w:val="24"/>
        </w:rPr>
        <w:t xml:space="preserve">Navržená provizorní nasazená jímka bude odvodňována čerpáním na dobu nezbytně nutnou. </w:t>
      </w:r>
      <w:r w:rsidRPr="00B05318">
        <w:t xml:space="preserve">Doplňující odvodnění bude v případě potřeby realizováno pomocí dočasně zřízené čerpací jímky osazené kalovým čerpadlem. </w:t>
      </w:r>
      <w:r w:rsidRPr="00B05318">
        <w:rPr>
          <w:szCs w:val="24"/>
        </w:rPr>
        <w:t>Při zvýšených průtocích budou práce přerušeny.</w:t>
      </w:r>
    </w:p>
    <w:p w:rsidR="00F74C03" w:rsidRPr="00B05318" w:rsidRDefault="00F74C03" w:rsidP="00F74C03">
      <w:pPr>
        <w:rPr>
          <w:szCs w:val="24"/>
        </w:rPr>
      </w:pPr>
      <w:r>
        <w:rPr>
          <w:szCs w:val="24"/>
        </w:rPr>
        <w:t>Pro spárování ploch v nadjezí a pro práce v podjezí bude využíváno, pro jednotlivé etapy výstavby, provizorních jímek (pytle s pískem).</w:t>
      </w:r>
    </w:p>
    <w:p w:rsidR="00F74C03" w:rsidRPr="00B05318" w:rsidRDefault="00F74C03" w:rsidP="00F74C03">
      <w:pPr>
        <w:rPr>
          <w:szCs w:val="24"/>
        </w:rPr>
      </w:pPr>
      <w:r w:rsidRPr="00B05318">
        <w:rPr>
          <w:szCs w:val="24"/>
        </w:rPr>
        <w:t>Během prací v</w:t>
      </w:r>
      <w:r>
        <w:rPr>
          <w:szCs w:val="24"/>
        </w:rPr>
        <w:t> </w:t>
      </w:r>
      <w:r w:rsidRPr="00B05318">
        <w:rPr>
          <w:szCs w:val="24"/>
        </w:rPr>
        <w:t>po</w:t>
      </w:r>
      <w:r>
        <w:rPr>
          <w:szCs w:val="24"/>
        </w:rPr>
        <w:t xml:space="preserve">djezí </w:t>
      </w:r>
      <w:r w:rsidRPr="00B05318">
        <w:rPr>
          <w:szCs w:val="24"/>
        </w:rPr>
        <w:t>(spárování v podjezí pohyblivého jezu, betonáž prahu atd.) bude pravé pole pohyblivého jezu uzavřeno. Voda bude převáděna přes rybí přechod, při vyšších průtocích i přes pole původního pevného jezu.</w:t>
      </w:r>
      <w:r>
        <w:rPr>
          <w:szCs w:val="24"/>
        </w:rPr>
        <w:t xml:space="preserve"> Pro zkapacitnění rybího přechod a snížení hladiny v nadjezí se předpokládá rozebrání, vyhražení jednotlivých dřevěných přepážek.</w:t>
      </w:r>
    </w:p>
    <w:p w:rsidR="003C4F98" w:rsidRPr="003C4F98" w:rsidRDefault="003C4F98" w:rsidP="003C4F98">
      <w:pPr>
        <w:pStyle w:val="Nadpis3"/>
      </w:pPr>
      <w:bookmarkStart w:id="21" w:name="_Toc10210392"/>
      <w:r w:rsidRPr="003C4F98">
        <w:t>Postup prací</w:t>
      </w:r>
      <w:bookmarkEnd w:id="19"/>
      <w:bookmarkEnd w:id="20"/>
      <w:bookmarkEnd w:id="21"/>
    </w:p>
    <w:p w:rsidR="003C4F98" w:rsidRPr="003C4F98" w:rsidRDefault="003C4F98" w:rsidP="003C4F98">
      <w:pPr>
        <w:spacing w:before="120" w:after="0" w:line="276" w:lineRule="auto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Dodavatel bude provádět stavební činnost pouze v rozsahu staveniště nebo na plochách dohodnutých na jednáních; současně bude instruovat své zaměstnance, aby nevstupovali na ostatní pozemky a dodržovali místní nařízení a předpisy. 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Zhotovitel stavby při předání stavby potvrdí, že jsou mu známy podmínky pro provádění díla v doteku s provozními povinnostmi objednatele a že v rámci realizace díla nebude bránit objednateli provádět jeho nezbytné úkony při výkonu činnosti.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Zde uvádíme předpokládaný postup hlavních stavebních prací v závislosti na převádění vody: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Přípravné práce: plná zdrž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VON: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Vybudování zařízení staveniště</w:t>
      </w:r>
      <w:r w:rsidR="000B306B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Provedení provizorního sjezdu do pod</w:t>
      </w:r>
      <w:r w:rsidR="00F74C03">
        <w:rPr>
          <w:rFonts w:eastAsia="Calibri"/>
          <w:szCs w:val="22"/>
          <w:lang w:eastAsia="en-US"/>
        </w:rPr>
        <w:t>jezí</w:t>
      </w:r>
      <w:r w:rsidRPr="003C4F98">
        <w:rPr>
          <w:rFonts w:eastAsia="Calibri"/>
          <w:szCs w:val="22"/>
          <w:lang w:eastAsia="en-US"/>
        </w:rPr>
        <w:t xml:space="preserve">. 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Umístění kontejneru pod levým polem původního pohyblivého jezu.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Při vypuštěné zdrži: - voda se převádí pravým jezovým polem pohyblivého jezu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VON: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Vybudování provizorní nasazené jímky v nadjezí. Její odstranění po dokončení prací uvedených u SO01 a SO02.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Odstranění kontejneru po dokončení SO01.</w:t>
      </w:r>
    </w:p>
    <w:p w:rsid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 xml:space="preserve">SO01: Sanace </w:t>
      </w:r>
      <w:proofErr w:type="spellStart"/>
      <w:r w:rsidRPr="003C4F98">
        <w:rPr>
          <w:rFonts w:eastAsia="Calibri"/>
          <w:i/>
          <w:szCs w:val="22"/>
          <w:lang w:eastAsia="en-US"/>
        </w:rPr>
        <w:t>mezipilíře</w:t>
      </w:r>
      <w:proofErr w:type="spellEnd"/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Snížení úrovně levého pilíře původního pohyblivého jezu</w:t>
      </w:r>
      <w:r w:rsidR="000B306B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Vrtné práce a injekční práce v místě levého pilíře původního pohyblivého jezu a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Stabilizace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 xml:space="preserve"> levého pilíře kotvenou </w:t>
      </w:r>
      <w:proofErr w:type="spellStart"/>
      <w:r w:rsidRPr="003C4F98">
        <w:rPr>
          <w:rFonts w:eastAsia="Calibri"/>
          <w:szCs w:val="22"/>
          <w:lang w:eastAsia="en-US"/>
        </w:rPr>
        <w:t>železobetonou</w:t>
      </w:r>
      <w:proofErr w:type="spellEnd"/>
      <w:r w:rsidRPr="003C4F98">
        <w:rPr>
          <w:rFonts w:eastAsia="Calibri"/>
          <w:szCs w:val="22"/>
          <w:lang w:eastAsia="en-US"/>
        </w:rPr>
        <w:t xml:space="preserve"> dobetonávkou.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Spárování ploch levého pilíře původního pevného jezu a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 xml:space="preserve"> z návodní strany.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SO02: Konstrukce zdiva jezu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Stabilizace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 xml:space="preserve"> pravého a středového pilíře kotvenou železobetonovou dobetonávkou (bourací práce, kotevní prvky, výztuž bednění, betonáž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>).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plochy levého jezového pole původní pohyblivého jezu.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středového pilíře z návodní strany.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svislé plochy pravého pilíře, v běžném provozním stavu zatopeném.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SO03: Úpravy v podjezí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Obnova opevnění dna koryta řeky pod pevným jezem.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Při snížené hladině ve zdrži: - voda se převádí rybím přechodem, při zvýšených průtocích pře</w:t>
      </w:r>
      <w:r w:rsidR="006A03B7">
        <w:rPr>
          <w:rFonts w:eastAsia="Calibri"/>
          <w:b/>
          <w:szCs w:val="22"/>
          <w:lang w:eastAsia="en-US"/>
        </w:rPr>
        <w:t>s</w:t>
      </w:r>
      <w:r w:rsidRPr="003C4F98">
        <w:rPr>
          <w:rFonts w:eastAsia="Calibri"/>
          <w:b/>
          <w:szCs w:val="22"/>
          <w:lang w:eastAsia="en-US"/>
        </w:rPr>
        <w:t xml:space="preserve"> původní pevný jez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 xml:space="preserve">SO01: Sanace </w:t>
      </w:r>
      <w:proofErr w:type="spellStart"/>
      <w:r w:rsidRPr="003C4F98">
        <w:rPr>
          <w:rFonts w:eastAsia="Calibri"/>
          <w:i/>
          <w:szCs w:val="22"/>
          <w:lang w:eastAsia="en-US"/>
        </w:rPr>
        <w:t>mezipilíře</w:t>
      </w:r>
      <w:proofErr w:type="spellEnd"/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Stabilizace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 xml:space="preserve"> levého pilíře kotvenou </w:t>
      </w:r>
      <w:proofErr w:type="spellStart"/>
      <w:r w:rsidRPr="003C4F98">
        <w:rPr>
          <w:rFonts w:eastAsia="Calibri"/>
          <w:szCs w:val="22"/>
          <w:lang w:eastAsia="en-US"/>
        </w:rPr>
        <w:t>železobetonou</w:t>
      </w:r>
      <w:proofErr w:type="spellEnd"/>
      <w:r w:rsidRPr="003C4F98">
        <w:rPr>
          <w:rFonts w:eastAsia="Calibri"/>
          <w:szCs w:val="22"/>
          <w:lang w:eastAsia="en-US"/>
        </w:rPr>
        <w:t xml:space="preserve"> dobetonávkou.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Náhrada degradovaného zdiva levého pilíře.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Odvodnění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Očištění a </w:t>
      </w:r>
      <w:proofErr w:type="spellStart"/>
      <w:r w:rsidRPr="003C4F98">
        <w:rPr>
          <w:rFonts w:eastAsia="Calibri"/>
          <w:szCs w:val="22"/>
          <w:lang w:eastAsia="en-US"/>
        </w:rPr>
        <w:t>přespárování</w:t>
      </w:r>
      <w:proofErr w:type="spellEnd"/>
      <w:r w:rsidRPr="003C4F98">
        <w:rPr>
          <w:rFonts w:eastAsia="Calibri"/>
          <w:szCs w:val="22"/>
          <w:lang w:eastAsia="en-US"/>
        </w:rPr>
        <w:t xml:space="preserve"> zbývajících ploch levého pilíře původního pohyblivého jezu a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SO02: Konstrukce zdiva jezu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plochy pravého jezového pole pohyblivého jezu.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Náhrada degradovaného zdiva středového a pravého pilíře.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zbývajících plocha středového pilíře.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zbývajících svislých ploch pravého pilíře.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Obnova degradovaných betonových prahů v podjezí pohyblivého jezu s obnovou navazujícího opevnění dna.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Očištění a </w:t>
      </w:r>
      <w:proofErr w:type="spellStart"/>
      <w:r w:rsidRPr="003C4F98">
        <w:rPr>
          <w:rFonts w:eastAsia="Calibri"/>
          <w:szCs w:val="22"/>
          <w:lang w:eastAsia="en-US"/>
        </w:rPr>
        <w:t>přespárování</w:t>
      </w:r>
      <w:proofErr w:type="spellEnd"/>
      <w:r w:rsidRPr="003C4F98">
        <w:rPr>
          <w:rFonts w:eastAsia="Calibri"/>
          <w:szCs w:val="22"/>
          <w:lang w:eastAsia="en-US"/>
        </w:rPr>
        <w:t xml:space="preserve"> dna podjezí pohyblivého jezu a zídky vývaru.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Dokončovací práce: plná zdrž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VON: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Odstranění provizorního sjezdu do pod</w:t>
      </w:r>
      <w:r w:rsidR="00F74C03">
        <w:rPr>
          <w:rFonts w:eastAsia="Calibri"/>
          <w:szCs w:val="22"/>
          <w:lang w:eastAsia="en-US"/>
        </w:rPr>
        <w:t>jezí</w:t>
      </w:r>
      <w:r w:rsidRPr="003C4F98">
        <w:rPr>
          <w:rFonts w:eastAsia="Calibri"/>
          <w:szCs w:val="22"/>
          <w:lang w:eastAsia="en-US"/>
        </w:rPr>
        <w:t xml:space="preserve">. 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Odstranění zařízení staveniště.</w:t>
      </w:r>
    </w:p>
    <w:p w:rsidR="003C4F98" w:rsidRPr="003C4F98" w:rsidRDefault="003C4F98" w:rsidP="00CD01ED">
      <w:pPr>
        <w:numPr>
          <w:ilvl w:val="0"/>
          <w:numId w:val="10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Uvedení ploch do původního stavu.</w:t>
      </w:r>
    </w:p>
    <w:p w:rsidR="003C4F98" w:rsidRDefault="003C4F98" w:rsidP="003C4F98">
      <w:pPr>
        <w:ind w:left="720"/>
        <w:rPr>
          <w:b/>
          <w:bCs/>
          <w:sz w:val="28"/>
          <w:szCs w:val="32"/>
        </w:rPr>
      </w:pPr>
    </w:p>
    <w:p w:rsidR="003C4F98" w:rsidRDefault="007A4EB0" w:rsidP="003C4F98">
      <w:pPr>
        <w:pStyle w:val="Nadpis2"/>
      </w:pPr>
      <w:bookmarkStart w:id="22" w:name="_Toc10210393"/>
      <w:r>
        <w:lastRenderedPageBreak/>
        <w:t>HAVARIJNÍ</w:t>
      </w:r>
      <w:r w:rsidR="000B3E25">
        <w:t xml:space="preserve"> PLÁN</w:t>
      </w:r>
      <w:bookmarkEnd w:id="22"/>
    </w:p>
    <w:p w:rsidR="007A4EB0" w:rsidRDefault="007A4EB0" w:rsidP="008E5889">
      <w:pPr>
        <w:pStyle w:val="Nadpis3"/>
      </w:pPr>
      <w:bookmarkStart w:id="23" w:name="_Toc10210394"/>
      <w:r>
        <w:t>Úvod</w:t>
      </w:r>
      <w:bookmarkEnd w:id="23"/>
    </w:p>
    <w:p w:rsidR="007A4EB0" w:rsidRDefault="007A4EB0" w:rsidP="007A4EB0">
      <w:r>
        <w:t>Hlavním předpisem, dle kterého je nutno se řídit, je zákon č. 450/2005 Sb., ze dne 4. listopadu 2005. Havarijní plán, řeší opatření nutná k odvrácení nebo zmírnění škod, které by eventuálně mohly nastat při provádění stavebních prací.</w:t>
      </w:r>
    </w:p>
    <w:p w:rsidR="007A4EB0" w:rsidRDefault="007A4EB0" w:rsidP="007A4EB0">
      <w:r>
        <w:t>Jde zejména o zabezpečení a ochranu vodního toku a půdy proti nepříznivým účinkům ropných (nepolárních) látek (NEL), případně jiných závadných látek.</w:t>
      </w:r>
    </w:p>
    <w:p w:rsidR="008E5889" w:rsidRDefault="008E5889" w:rsidP="007A4EB0"/>
    <w:p w:rsidR="007A4EB0" w:rsidRDefault="007A4EB0" w:rsidP="008E5889">
      <w:pPr>
        <w:pStyle w:val="Nadpis3"/>
      </w:pPr>
      <w:bookmarkStart w:id="24" w:name="_Toc10210395"/>
      <w:r>
        <w:t>Náležitosti HP</w:t>
      </w:r>
      <w:bookmarkEnd w:id="24"/>
    </w:p>
    <w:p w:rsidR="007A4EB0" w:rsidRDefault="007A4EB0" w:rsidP="007A4EB0">
      <w:r>
        <w:t>Náležitosti HP určené výše uvedeným předpisem jsou uvedeny v následujících bodech: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 xml:space="preserve">Vymezené zájmové území, pro které je zpracováván havarijní plán </w:t>
      </w:r>
      <w:r>
        <w:t xml:space="preserve">– koryto </w:t>
      </w:r>
      <w:r w:rsidR="008E5889">
        <w:t>řeky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>Zhotovitelem stavby</w:t>
      </w:r>
      <w:r>
        <w:t xml:space="preserve"> – firma dle výběrového řízení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 xml:space="preserve">Autor konkrétního HP včetně dosažené </w:t>
      </w:r>
      <w:proofErr w:type="gramStart"/>
      <w:r>
        <w:rPr>
          <w:u w:val="single"/>
        </w:rPr>
        <w:t>vzdělání</w:t>
      </w:r>
      <w:r>
        <w:t xml:space="preserve"> –  zástupce</w:t>
      </w:r>
      <w:proofErr w:type="gramEnd"/>
      <w:r>
        <w:t xml:space="preserve"> firmy dle výběrového řízení. 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>Používané závadné látky</w:t>
      </w:r>
      <w:r>
        <w:t xml:space="preserve"> – látky nepolárního charakteru (</w:t>
      </w:r>
      <w:proofErr w:type="spellStart"/>
      <w:r>
        <w:t>odkapy</w:t>
      </w:r>
      <w:proofErr w:type="spellEnd"/>
      <w:r>
        <w:t xml:space="preserve"> pohonných směsí, odbedňovací a mazací oleje).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>Zařízení, v nichž je se závadnými látkami zacházeno</w:t>
      </w:r>
      <w:r>
        <w:t xml:space="preserve"> – staveništní technika - stroje.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>Možné únikové cesty havarijního odtoku závadných látek (dále ZL</w:t>
      </w:r>
      <w:r>
        <w:t xml:space="preserve">) – </w:t>
      </w:r>
      <w:proofErr w:type="spellStart"/>
      <w:r>
        <w:t>odkapy</w:t>
      </w:r>
      <w:proofErr w:type="spellEnd"/>
      <w:r>
        <w:t xml:space="preserve"> pohonných směsí a jejich další odtok po zpevněné ploše komunikace na nezpevněné části, zde jejich vsakování do podloží; únik odbedňovacích olejů a cementového mléka přes netěsnosti bednění konstrukce, eventuálně při kolapsu bednění zavalení říčního toku nezatvrdlou betonovou směsí. 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t>Preventivní opatření pro zamezení úniku ZL</w:t>
      </w:r>
      <w:r>
        <w:t xml:space="preserve"> - Základním předpokladem pro zmenšení pravděpodobnosti vzniku jakéhokoliv znečištění a ohrožení životního prostředí je dodržení pracovní kázně během výstavby.</w:t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bCs/>
          <w:u w:val="single"/>
        </w:rPr>
        <w:t>Stavební a další opatření pro omezení a likvidaci úniku ZL</w:t>
      </w:r>
      <w:r>
        <w:t xml:space="preserve"> - Při provádění stavebních prací nelze stoprocentně vyloučit možnost havárie spojené s únikem škodlivých látek do půdy nebo do vodního toku. V následujícím textu jsou uvedená možná technická řešení úniku ZL.</w:t>
      </w:r>
    </w:p>
    <w:p w:rsidR="007A4EB0" w:rsidRDefault="007A4EB0" w:rsidP="007A4EB0">
      <w:pPr>
        <w:rPr>
          <w:bCs/>
          <w:u w:val="single"/>
        </w:rPr>
      </w:pPr>
    </w:p>
    <w:p w:rsidR="007A4EB0" w:rsidRDefault="007A4EB0" w:rsidP="007A4EB0">
      <w:pPr>
        <w:rPr>
          <w:bCs/>
          <w:u w:val="single"/>
        </w:rPr>
      </w:pPr>
      <w:r>
        <w:rPr>
          <w:bCs/>
          <w:u w:val="single"/>
        </w:rPr>
        <w:t>Likvidace havarijního úniku NEL na volné prostranství a do půdy</w:t>
      </w:r>
    </w:p>
    <w:p w:rsidR="007A4EB0" w:rsidRDefault="007A4EB0" w:rsidP="007A4EB0">
      <w:r>
        <w:t>Pracovník, který zpozoruje nebo způsobí únik ropných látek, provede ihned opatření k odstranění příčiny úniku. Podle potřeby přivolá přiměřený počet dalších pracovníků.</w:t>
      </w:r>
    </w:p>
    <w:p w:rsidR="007A4EB0" w:rsidRDefault="007A4EB0" w:rsidP="007A4EB0">
      <w:r>
        <w:t>Zejména je třeba: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>zabránit dalšímu vytékání ropných látek, např. uzavřením otvorů, klíny či zátkami, zachycením vytékajících ropných produktů do nádob, eventuálně zamezit úniku do toku přehrazením.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>provést posyp NEL absorpčními materiály (uvedeno dále)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>o havárii uvědomit svého vedoucího, který dále ihned uvědomí vodohospodáře firmy, ostatní odpovědné osoby, ředitele firmy a osoby, které jsou uvedeny v plánu vyrozumění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>volné ropné látky sesbírat do nádob a odevzdat je do výkupu nebo společně zlikvidovat dle následujícího odstavce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 xml:space="preserve">po vsáknutí NEL do absorpčních materiálů provést jejich likvidaci spálením v souladu </w:t>
      </w:r>
      <w:r>
        <w:lastRenderedPageBreak/>
        <w:t>se zákonem č.309/91 o ovzduší včetně souvisejících předpisů a norem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>stanovit rozsah kontaminace zeminy a tento rozsah posoudit podle souboru normativních hodnot přípustné kontaminace zeminy dle zákona o půdě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 xml:space="preserve">asanaci zeminy provést biodegradací, případně </w:t>
      </w:r>
      <w:proofErr w:type="spellStart"/>
      <w:r>
        <w:t>soldifikací</w:t>
      </w:r>
      <w:proofErr w:type="spellEnd"/>
      <w:r>
        <w:t>, případně na vodohospodářsky schválených skládkách (zákon o odpadech č. 185/2001 Sb.)</w:t>
      </w:r>
    </w:p>
    <w:p w:rsidR="007A4EB0" w:rsidRDefault="007A4EB0" w:rsidP="007A4EB0">
      <w:pPr>
        <w:rPr>
          <w:bCs/>
          <w:u w:val="single"/>
        </w:rPr>
      </w:pPr>
    </w:p>
    <w:p w:rsidR="007A4EB0" w:rsidRDefault="007A4EB0" w:rsidP="007A4EB0">
      <w:pPr>
        <w:rPr>
          <w:bCs/>
          <w:u w:val="single"/>
        </w:rPr>
      </w:pPr>
      <w:r w:rsidRPr="00A14BE4">
        <w:rPr>
          <w:bCs/>
          <w:u w:val="single"/>
        </w:rPr>
        <w:t xml:space="preserve"> </w:t>
      </w:r>
      <w:r>
        <w:rPr>
          <w:bCs/>
          <w:u w:val="single"/>
        </w:rPr>
        <w:t>Likvidace NEL při úniku do vodního toku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>v případě havárie na toku bude používán vláke</w:t>
      </w:r>
      <w:r w:rsidR="00FA6DE4">
        <w:t xml:space="preserve">nný a textilní materiál </w:t>
      </w:r>
      <w:proofErr w:type="spellStart"/>
      <w:r w:rsidR="00FA6DE4">
        <w:t>Fibroil</w:t>
      </w:r>
      <w:proofErr w:type="spellEnd"/>
      <w:r w:rsidR="00FA6DE4">
        <w:t xml:space="preserve">, </w:t>
      </w:r>
      <w:r>
        <w:t xml:space="preserve">speciální norná stěna a vlákenný pramen </w:t>
      </w:r>
      <w:proofErr w:type="spellStart"/>
      <w:r>
        <w:t>Fibroil</w:t>
      </w:r>
      <w:proofErr w:type="spellEnd"/>
      <w:r>
        <w:t xml:space="preserve"> k odebírání NEL z hladiny před nornými stěnami (např. absorpční had PIG </w:t>
      </w:r>
      <w:proofErr w:type="spellStart"/>
      <w:r>
        <w:t>Skimmer</w:t>
      </w:r>
      <w:proofErr w:type="spellEnd"/>
      <w:r>
        <w:t xml:space="preserve"> - norná stěna s polštáři PIG), tyto prostředky spolehlivě zachytí uniklou škodlivou kapalinu ve vodním toku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</w:pPr>
      <w:r>
        <w:t xml:space="preserve">před zahájením výstavby budou na vodním toku pod staveništěm do nábřežních zdí osazeny kotevní přípravky umožňující případný úchyt </w:t>
      </w:r>
      <w:proofErr w:type="spellStart"/>
      <w:r>
        <w:t>Fibroil</w:t>
      </w:r>
      <w:proofErr w:type="spellEnd"/>
      <w:r>
        <w:t xml:space="preserve"> - norné stěny</w:t>
      </w:r>
    </w:p>
    <w:p w:rsidR="007A4EB0" w:rsidRDefault="007A4EB0" w:rsidP="00CD01ED">
      <w:pPr>
        <w:widowControl w:val="0"/>
        <w:numPr>
          <w:ilvl w:val="0"/>
          <w:numId w:val="8"/>
        </w:numPr>
        <w:suppressAutoHyphens/>
        <w:spacing w:after="0"/>
        <w:rPr>
          <w:i/>
          <w:iCs/>
        </w:rPr>
      </w:pPr>
      <w:r>
        <w:t>po zjištění NEL v toku je nutno bezodkladně provést opatření na odstranění těchto látek z toku, dále musí být ihned provedeno uvědomění určených osob a další postup dle bodů předchozího odstavce</w:t>
      </w:r>
      <w:r>
        <w:rPr>
          <w:i/>
          <w:iCs/>
        </w:rPr>
        <w:t xml:space="preserve"> Likvidace havarijního úniku NEL na volné prostranství a do půdy </w:t>
      </w:r>
    </w:p>
    <w:p w:rsidR="007A4EB0" w:rsidRDefault="007A4EB0" w:rsidP="007A4EB0"/>
    <w:p w:rsidR="007A4EB0" w:rsidRDefault="007A4EB0" w:rsidP="007A4EB0">
      <w:r>
        <w:t>S přihlédnutím k výše uvedeným odstavcům o likvidaci NEL je nutno postupovat i v případě, že dojde k úniku jiného druhu závadných látek do vodního toku či do půdy, a to vždy s ohledem na jejich vlastnosti.</w:t>
      </w:r>
    </w:p>
    <w:p w:rsidR="007A4EB0" w:rsidRDefault="007A4EB0" w:rsidP="007A4EB0">
      <w:r>
        <w:t>Každý provoz, kde je možná kontaminace závadnými látkami, bude mít vymezený prostor přímo na staveništi (na staveništní skládce), kde bude trvale k dispozici sorbent zachycující NEL, lopata, smeták, zátky různých velikostí, nádoba na sebrané závadné látky (z materiálu vyhovujícího ukládání NEL), materiál pro odstraňování NEL z hladiny toku a eventuálně další pomůcky dle skutečné potřeby.</w:t>
      </w:r>
    </w:p>
    <w:p w:rsidR="007A4EB0" w:rsidRDefault="007A4EB0" w:rsidP="007A4EB0">
      <w:pPr>
        <w:rPr>
          <w:bCs/>
          <w:u w:val="single"/>
        </w:rPr>
      </w:pPr>
    </w:p>
    <w:p w:rsidR="007A4EB0" w:rsidRDefault="007A4EB0" w:rsidP="007A4EB0">
      <w:pPr>
        <w:rPr>
          <w:bCs/>
          <w:u w:val="single"/>
        </w:rPr>
      </w:pPr>
      <w:r>
        <w:rPr>
          <w:bCs/>
          <w:u w:val="single"/>
        </w:rPr>
        <w:t>Další informace k likvidaci úniků škodlivých látek</w:t>
      </w:r>
    </w:p>
    <w:p w:rsidR="007A4EB0" w:rsidRDefault="007A4EB0" w:rsidP="007A4EB0">
      <w:r>
        <w:t>V případě rozsáhlejšího úniku bude mimo realizaci výše uvedených opatření, provedeno též vyrozumění příslušného hasičského záchranného sboru pro zajištění odčerpání ropné látky z vodní hladiny.</w:t>
      </w:r>
    </w:p>
    <w:p w:rsidR="007A4EB0" w:rsidRDefault="007A4EB0" w:rsidP="007A4EB0">
      <w:r>
        <w:t>Při manipulaci se sorbenty je nutno dodržet veškeré předpisy dané návody k používání uvedených výrobků.</w:t>
      </w:r>
    </w:p>
    <w:p w:rsidR="007A4EB0" w:rsidRDefault="007A4EB0" w:rsidP="007A4EB0">
      <w:r>
        <w:t xml:space="preserve">Dalším prostředkem, který spolehlivě zajistí prevenci vzniku ekologické havárie a rychle odstraní havarijní skvrny na zemi i na vodě </w:t>
      </w:r>
      <w:proofErr w:type="gramStart"/>
      <w:r>
        <w:t>jsou  "Absorpční</w:t>
      </w:r>
      <w:proofErr w:type="gramEnd"/>
      <w:r>
        <w:t xml:space="preserve"> koberce".</w:t>
      </w:r>
    </w:p>
    <w:p w:rsidR="007A4EB0" w:rsidRDefault="007A4EB0" w:rsidP="007A4EB0">
      <w:r>
        <w:t>Pokud se na staveništi používají stabilní stroje, mají být pod nimi umístěny vhodné nádoby pro zachycení úkapů.</w:t>
      </w:r>
    </w:p>
    <w:p w:rsidR="007A4EB0" w:rsidRDefault="007A4EB0" w:rsidP="007A4EB0">
      <w:r>
        <w:t>Na staveništi bude k dispozici konečný přesný seznam použitých materiálů s uvedením místa jejich uložení.</w:t>
      </w:r>
    </w:p>
    <w:p w:rsidR="007A4EB0" w:rsidRDefault="007A4EB0" w:rsidP="007A4EB0"/>
    <w:p w:rsidR="008E5889" w:rsidRDefault="008E5889">
      <w:pPr>
        <w:spacing w:after="0"/>
        <w:jc w:val="left"/>
        <w:rPr>
          <w:bCs/>
          <w:u w:val="single"/>
        </w:rPr>
      </w:pPr>
      <w:r>
        <w:rPr>
          <w:bCs/>
          <w:u w:val="single"/>
        </w:rPr>
        <w:br w:type="page"/>
      </w:r>
    </w:p>
    <w:p w:rsidR="007A4EB0" w:rsidRDefault="007A4EB0" w:rsidP="00CD01ED">
      <w:pPr>
        <w:widowControl w:val="0"/>
        <w:numPr>
          <w:ilvl w:val="0"/>
          <w:numId w:val="11"/>
        </w:numPr>
        <w:suppressAutoHyphens/>
        <w:spacing w:after="0"/>
      </w:pPr>
      <w:r>
        <w:rPr>
          <w:bCs/>
          <w:u w:val="single"/>
        </w:rPr>
        <w:lastRenderedPageBreak/>
        <w:t>Zápis o havarijním úniku</w:t>
      </w:r>
      <w:r>
        <w:t xml:space="preserve"> - vedoucí úseku, kde došlo k havárii, provede za přítomnosti bezpečnostního technika a vodohospodáře zápis o havárii závadných látek.</w:t>
      </w:r>
    </w:p>
    <w:p w:rsidR="007A4EB0" w:rsidRDefault="007A4EB0" w:rsidP="007A4EB0">
      <w:pPr>
        <w:rPr>
          <w:bCs/>
        </w:rPr>
      </w:pPr>
    </w:p>
    <w:p w:rsidR="007A4EB0" w:rsidRDefault="007A4EB0" w:rsidP="007A4EB0">
      <w:pPr>
        <w:rPr>
          <w:bCs/>
        </w:rPr>
      </w:pPr>
      <w:r>
        <w:rPr>
          <w:bCs/>
        </w:rPr>
        <w:t>Zápis musí obsahovat následující údaje: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místo vzniku havárie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čas, kdy byl únik zpozorován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kdo únik zjistil a komu byl ohlášen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příčiny vzniku havárie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rozsah způsobeného znečištění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popis a rozsah způsobené škody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záznam o provedených opatřeních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rozhodnutí o následujících opatřeních směřujících k prevenci proti vzniku stejných nebo obdobných havarijních úniků</w:t>
      </w:r>
    </w:p>
    <w:p w:rsidR="007A4EB0" w:rsidRDefault="007A4EB0" w:rsidP="007A4EB0"/>
    <w:p w:rsidR="007A4EB0" w:rsidRDefault="007A4EB0" w:rsidP="007A4EB0">
      <w:r>
        <w:t>Havárii hlásí původce havárie, nebo ten, kdo ji zjistí a to nejvhodnějším a nejrychlejším způsobem.</w:t>
      </w:r>
    </w:p>
    <w:p w:rsidR="007A4EB0" w:rsidRDefault="007A4EB0" w:rsidP="007A4EB0">
      <w:pPr>
        <w:rPr>
          <w:bCs/>
        </w:rPr>
      </w:pPr>
    </w:p>
    <w:p w:rsidR="007A4EB0" w:rsidRDefault="007A4EB0" w:rsidP="007A4EB0">
      <w:pPr>
        <w:rPr>
          <w:bCs/>
        </w:rPr>
      </w:pPr>
      <w:r>
        <w:rPr>
          <w:bCs/>
        </w:rPr>
        <w:t>Při nahlášení havárie je nutno uvědomit tyto organizace: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hasiče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ředitele firmy provádějící výstavbu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vodohospodáře firmy provádějící výstavbu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investora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bezpečnostního a požárního technika firmy provádějící výstavbu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osoby odpovědné za výstavbu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 xml:space="preserve">Povodí </w:t>
      </w:r>
      <w:r w:rsidR="008E5889">
        <w:t>Ohře</w:t>
      </w:r>
      <w:r>
        <w:t>, státní podnik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Českou inspekci životního prostředí, oddělení ochrany vod, případně oddělení odpadového hospodářství</w:t>
      </w:r>
    </w:p>
    <w:p w:rsidR="007A4EB0" w:rsidRDefault="007A4EB0" w:rsidP="00CD01ED">
      <w:pPr>
        <w:widowControl w:val="0"/>
        <w:numPr>
          <w:ilvl w:val="1"/>
          <w:numId w:val="8"/>
        </w:numPr>
        <w:suppressAutoHyphens/>
        <w:spacing w:after="0"/>
      </w:pPr>
      <w:r>
        <w:t>uživatele zemědělských pozemků, Policii ČR a další podle charakteru havárie</w:t>
      </w:r>
    </w:p>
    <w:p w:rsidR="007A4EB0" w:rsidRDefault="007A4EB0" w:rsidP="007A4EB0"/>
    <w:p w:rsidR="007A4EB0" w:rsidRDefault="007A4EB0" w:rsidP="007A4EB0">
      <w:r>
        <w:t>Při zásahu jsou povinny pomáhat všechny přítomné osoby a jejich činnost řídí, za dodržování bezpečnostních předpisů, odpovědný pracovník zhotovitele stavby.</w:t>
      </w:r>
    </w:p>
    <w:p w:rsidR="007A4EB0" w:rsidRDefault="007A4EB0" w:rsidP="007A4EB0">
      <w:pPr>
        <w:rPr>
          <w:u w:val="single"/>
        </w:rPr>
      </w:pPr>
    </w:p>
    <w:p w:rsidR="007A4EB0" w:rsidRDefault="007A4EB0" w:rsidP="00CD01ED">
      <w:pPr>
        <w:pageBreakBefore/>
        <w:widowControl w:val="0"/>
        <w:numPr>
          <w:ilvl w:val="0"/>
          <w:numId w:val="11"/>
        </w:numPr>
        <w:suppressAutoHyphens/>
        <w:spacing w:after="0"/>
      </w:pPr>
      <w:r>
        <w:rPr>
          <w:u w:val="single"/>
        </w:rPr>
        <w:lastRenderedPageBreak/>
        <w:t>Adresy a telefonická spojení na správní úřady a zainteresované právnické a fyzické osoby</w:t>
      </w:r>
      <w:r>
        <w:t xml:space="preserve"> (viz. </w:t>
      </w:r>
      <w:proofErr w:type="gramStart"/>
      <w:r>
        <w:t>tabulka</w:t>
      </w:r>
      <w:proofErr w:type="gramEnd"/>
      <w:r>
        <w:t>) – konkrétní jména a telefony budou doplněny před zahájením stavby</w:t>
      </w:r>
    </w:p>
    <w:p w:rsidR="007A4EB0" w:rsidRDefault="007A4EB0" w:rsidP="007A4EB0"/>
    <w:tbl>
      <w:tblPr>
        <w:tblW w:w="9600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496"/>
        <w:gridCol w:w="992"/>
        <w:gridCol w:w="5112"/>
      </w:tblGrid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Zástupce zhotovitele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422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9713CA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(osoba zodpovědná za dodržování havarijního plánu)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Stavbyvedoucí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Stavební dozor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Zástupce investora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8E5889" w:rsidTr="009713CA">
        <w:trPr>
          <w:trHeight w:hRule="exact" w:val="891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89" w:rsidRDefault="008E5889" w:rsidP="00FA6DE4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Správce </w:t>
            </w:r>
            <w:r w:rsidR="00FA6DE4">
              <w:rPr>
                <w:sz w:val="16"/>
                <w:szCs w:val="16"/>
              </w:rPr>
              <w:t xml:space="preserve">povodí a </w:t>
            </w:r>
            <w:proofErr w:type="gramStart"/>
            <w:r w:rsidR="00FA6DE4">
              <w:rPr>
                <w:sz w:val="16"/>
                <w:szCs w:val="16"/>
              </w:rPr>
              <w:t>vodního  toku</w:t>
            </w:r>
            <w:proofErr w:type="gramEnd"/>
            <w:r w:rsidR="00FA6DE4">
              <w:rPr>
                <w:sz w:val="16"/>
                <w:szCs w:val="16"/>
              </w:rPr>
              <w:t xml:space="preserve"> </w:t>
            </w:r>
            <w:proofErr w:type="spellStart"/>
            <w:r w:rsidR="00FA6DE4">
              <w:rPr>
                <w:sz w:val="16"/>
                <w:szCs w:val="16"/>
              </w:rPr>
              <w:t>Mandava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E5889" w:rsidRDefault="008E5889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DE4" w:rsidRPr="00FA6DE4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Povodí Ohře, státní podnik – odbor vodohospodářského dispečinku:</w:t>
            </w:r>
          </w:p>
          <w:p w:rsidR="00FA6DE4" w:rsidRPr="00FA6DE4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závod Terezín:</w:t>
            </w:r>
          </w:p>
          <w:p w:rsidR="00FA6DE4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provozní středisko Česká Lípa:</w:t>
            </w:r>
          </w:p>
          <w:p w:rsidR="008E5889" w:rsidRDefault="008E5889" w:rsidP="00FA6DE4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846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DE4" w:rsidRPr="00FA6DE4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tel.: 474 636 306, 474 624 200 (nepřetržitá služba)</w:t>
            </w:r>
          </w:p>
          <w:p w:rsidR="00FA6DE4" w:rsidRPr="00FA6DE4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tel.: 416 707 811</w:t>
            </w:r>
          </w:p>
          <w:p w:rsidR="007A4EB0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tel.: 487 823 650, 487 882 890</w:t>
            </w:r>
          </w:p>
        </w:tc>
      </w:tr>
      <w:tr w:rsidR="007A4EB0" w:rsidTr="009713CA">
        <w:trPr>
          <w:trHeight w:hRule="exact" w:val="717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Hasičský záchranný sbor ČR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6DE4" w:rsidRPr="00FA6DE4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 xml:space="preserve">Hasičský záchranný sbor, </w:t>
            </w:r>
          </w:p>
          <w:p w:rsidR="007A4EB0" w:rsidRDefault="00FA6DE4" w:rsidP="00FA6DE4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tísňová linka + územní odbor Děčín: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FA6DE4" w:rsidP="002376D9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tel.: 950 435 111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Policie ČR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FA6DE4" w:rsidP="002376D9">
            <w:pPr>
              <w:snapToGrid w:val="0"/>
              <w:rPr>
                <w:sz w:val="16"/>
                <w:szCs w:val="16"/>
              </w:rPr>
            </w:pPr>
            <w:r w:rsidRPr="00FA6DE4">
              <w:rPr>
                <w:sz w:val="16"/>
                <w:szCs w:val="16"/>
              </w:rPr>
              <w:t>Obvodní oddělení Varnsdorf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0B6F67" w:rsidP="002376D9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>tel.: 974 441600, 412 372 333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Místně příslušný vodoprávní úřad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0B6F67" w:rsidP="002376D9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 xml:space="preserve">Vodoprávní úřad OŽP </w:t>
            </w:r>
            <w:proofErr w:type="spellStart"/>
            <w:r w:rsidRPr="000B6F67">
              <w:rPr>
                <w:sz w:val="16"/>
                <w:szCs w:val="16"/>
              </w:rPr>
              <w:t>MěÚ</w:t>
            </w:r>
            <w:proofErr w:type="spellEnd"/>
            <w:r w:rsidRPr="000B6F67">
              <w:rPr>
                <w:sz w:val="16"/>
                <w:szCs w:val="16"/>
              </w:rPr>
              <w:t xml:space="preserve"> Varnsdorf: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0B6F67" w:rsidP="002376D9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>tel.: 417 545 150, 417 545 154</w:t>
            </w:r>
          </w:p>
        </w:tc>
      </w:tr>
      <w:tr w:rsidR="007A4EB0" w:rsidTr="009713CA">
        <w:trPr>
          <w:trHeight w:hRule="exact" w:val="993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Inspektorát České inspekce ŽP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6F67" w:rsidRDefault="000B6F67" w:rsidP="000B6F67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>Oblastní inspektorát Ústí nad Labem</w:t>
            </w:r>
          </w:p>
          <w:p w:rsidR="000B6F67" w:rsidRPr="000B6F67" w:rsidRDefault="008C07D1" w:rsidP="000B6F67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Výstupní</w:t>
            </w:r>
            <w:r w:rsidR="000B6F67" w:rsidRPr="000B6F67">
              <w:rPr>
                <w:sz w:val="16"/>
                <w:szCs w:val="16"/>
              </w:rPr>
              <w:t xml:space="preserve"> 1644</w:t>
            </w:r>
          </w:p>
          <w:p w:rsidR="007A4EB0" w:rsidRDefault="000B6F67" w:rsidP="000B6F67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>400 07 Ústí nad Labem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6F67" w:rsidRPr="000B6F67" w:rsidRDefault="000B6F67" w:rsidP="000B6F67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>tel. (+) 420 475 500 547</w:t>
            </w:r>
          </w:p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</w:tr>
      <w:tr w:rsidR="007A4EB0" w:rsidTr="009713CA">
        <w:trPr>
          <w:trHeight w:hRule="exact" w:val="643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Zdravotnická záchranná služba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0B6F67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Zdravotnická záchranná služba</w:t>
            </w:r>
          </w:p>
          <w:p w:rsidR="000B6F67" w:rsidRDefault="000B6F67" w:rsidP="000B6F67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Jiráskova 1, 40801 Rumburk 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0B6F67" w:rsidP="000B6F67">
            <w:pPr>
              <w:snapToGrid w:val="0"/>
              <w:rPr>
                <w:sz w:val="16"/>
                <w:szCs w:val="16"/>
              </w:rPr>
            </w:pPr>
            <w:r w:rsidRPr="000B6F67">
              <w:rPr>
                <w:sz w:val="16"/>
                <w:szCs w:val="16"/>
              </w:rPr>
              <w:t xml:space="preserve">tel.: (+) 420 </w:t>
            </w:r>
            <w:r>
              <w:rPr>
                <w:sz w:val="16"/>
                <w:szCs w:val="16"/>
              </w:rPr>
              <w:t>974 432 216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8C07D1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Povodňová komise</w:t>
            </w:r>
            <w:r w:rsidR="007A4EB0">
              <w:rPr>
                <w:sz w:val="16"/>
                <w:szCs w:val="16"/>
              </w:rPr>
              <w:t xml:space="preserve"> (městský) úřad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Jméno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8C07D1" w:rsidP="002376D9">
            <w:pPr>
              <w:snapToGri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MěÚ</w:t>
            </w:r>
            <w:proofErr w:type="spellEnd"/>
            <w:r>
              <w:rPr>
                <w:sz w:val="16"/>
                <w:szCs w:val="16"/>
              </w:rPr>
              <w:t xml:space="preserve"> Varnsdorf</w:t>
            </w:r>
          </w:p>
        </w:tc>
      </w:tr>
      <w:tr w:rsidR="007A4EB0" w:rsidTr="009713CA">
        <w:trPr>
          <w:trHeight w:hRule="exact" w:val="340"/>
        </w:trPr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A4EB0" w:rsidRDefault="007A4EB0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4EB0" w:rsidRDefault="008C07D1" w:rsidP="002376D9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412 372 241-4, 602 104 590</w:t>
            </w:r>
          </w:p>
        </w:tc>
      </w:tr>
    </w:tbl>
    <w:p w:rsidR="007A4EB0" w:rsidRDefault="007A4EB0" w:rsidP="00C04B76">
      <w:pPr>
        <w:pStyle w:val="Nadpis3"/>
      </w:pPr>
      <w:bookmarkStart w:id="25" w:name="_Toc10210396"/>
      <w:r>
        <w:t>Závěr</w:t>
      </w:r>
      <w:bookmarkEnd w:id="25"/>
    </w:p>
    <w:p w:rsidR="007A4EB0" w:rsidRDefault="007A4EB0" w:rsidP="007A4EB0">
      <w:r>
        <w:t>Zástupci zhotovitele i investora stavby budou provádět pravidelné prohlídky pracoviště s ohledem na zajištění řádné ochrany toku a půdy. Dále je třeba, aby všichni pracovníci zainteresovaní na stavbě byli seznámeni s tímto havarijním plánem.</w:t>
      </w:r>
    </w:p>
    <w:p w:rsidR="003C4F98" w:rsidRPr="009713CA" w:rsidRDefault="007A4EB0" w:rsidP="003C4F98">
      <w:r>
        <w:t>Havarijní plán začíná platit dnem zahájení stavby a za jeho dodržování odpovídají pracovníci zhotovitele a investora.</w:t>
      </w:r>
    </w:p>
    <w:sectPr w:rsidR="003C4F98" w:rsidRPr="009713CA" w:rsidSect="00954FF4">
      <w:headerReference w:type="even" r:id="rId8"/>
      <w:headerReference w:type="default" r:id="rId9"/>
      <w:footerReference w:type="default" r:id="rId10"/>
      <w:pgSz w:w="11907" w:h="16840" w:code="9"/>
      <w:pgMar w:top="1559" w:right="1134" w:bottom="1559" w:left="1134" w:header="567" w:footer="760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85" w:rsidRDefault="00DE4485">
      <w:r>
        <w:separator/>
      </w:r>
    </w:p>
    <w:p w:rsidR="00DE4485" w:rsidRDefault="00DE4485"/>
    <w:p w:rsidR="00DE4485" w:rsidRDefault="00DE4485"/>
    <w:p w:rsidR="00DE4485" w:rsidRDefault="00DE4485"/>
  </w:endnote>
  <w:endnote w:type="continuationSeparator" w:id="0">
    <w:p w:rsidR="00DE4485" w:rsidRDefault="00DE4485">
      <w:r>
        <w:continuationSeparator/>
      </w:r>
    </w:p>
    <w:p w:rsidR="00DE4485" w:rsidRDefault="00DE4485"/>
    <w:p w:rsidR="00DE4485" w:rsidRDefault="00DE4485"/>
    <w:p w:rsidR="00DE4485" w:rsidRDefault="00DE4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2E5" w:rsidRDefault="00F942E5">
    <w:pPr>
      <w:pStyle w:val="Zpat"/>
    </w:pPr>
    <w:r>
      <w:t>VODNÍ DÍLA - TBD a.s.</w:t>
    </w:r>
    <w:r>
      <w:tab/>
    </w:r>
    <w:r>
      <w:tab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070D52">
      <w:rPr>
        <w:noProof/>
      </w:rPr>
      <w:t>9</w:t>
    </w:r>
    <w:r>
      <w:fldChar w:fldCharType="end"/>
    </w:r>
    <w:bookmarkStart w:id="26" w:name="_Toc382725287"/>
    <w:bookmarkStart w:id="27" w:name="_Toc382725762"/>
    <w:bookmarkStart w:id="28" w:name="_Toc401316801"/>
    <w:bookmarkStart w:id="29" w:name="_Toc492458467"/>
    <w:bookmarkStart w:id="30" w:name="_Toc525381848"/>
    <w:bookmarkEnd w:id="26"/>
    <w:bookmarkEnd w:id="27"/>
    <w:bookmarkEnd w:id="28"/>
    <w:bookmarkEnd w:id="29"/>
    <w:bookmarkEnd w:id="3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85" w:rsidRDefault="00DE4485">
      <w:r>
        <w:separator/>
      </w:r>
    </w:p>
    <w:p w:rsidR="00DE4485" w:rsidRDefault="00DE4485"/>
    <w:p w:rsidR="00DE4485" w:rsidRDefault="00DE4485"/>
    <w:p w:rsidR="00DE4485" w:rsidRDefault="00DE4485"/>
  </w:footnote>
  <w:footnote w:type="continuationSeparator" w:id="0">
    <w:p w:rsidR="00DE4485" w:rsidRDefault="00DE4485">
      <w:r>
        <w:continuationSeparator/>
      </w:r>
    </w:p>
    <w:p w:rsidR="00DE4485" w:rsidRDefault="00DE4485"/>
    <w:p w:rsidR="00DE4485" w:rsidRDefault="00DE4485"/>
    <w:p w:rsidR="00DE4485" w:rsidRDefault="00DE44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2E5" w:rsidRDefault="00F942E5"/>
  <w:p w:rsidR="00F942E5" w:rsidRDefault="00F942E5"/>
  <w:p w:rsidR="00F942E5" w:rsidRDefault="00F942E5"/>
  <w:p w:rsidR="00F942E5" w:rsidRDefault="00F942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2E5" w:rsidRDefault="00F942E5" w:rsidP="007B66EC">
    <w:pPr>
      <w:pStyle w:val="Zhlav"/>
      <w:spacing w:after="0"/>
    </w:pPr>
    <w:r>
      <w:t>Jez Varnsdorf – sanace průsaků ve středovém pilíři</w:t>
    </w:r>
  </w:p>
  <w:p w:rsidR="00F942E5" w:rsidRDefault="00B554D7" w:rsidP="007B66EC">
    <w:pPr>
      <w:pStyle w:val="Zhlav"/>
      <w:spacing w:before="0"/>
    </w:pPr>
    <w:r>
      <w:t>NÁVRH HAVARIJNÍHO PLÁNU</w:t>
    </w:r>
    <w:r w:rsidR="00F942E5">
      <w:t xml:space="preserve">               </w:t>
    </w:r>
    <w:r w:rsidR="00F942E5">
      <w:tab/>
      <w:t>DSJ (DSP, DPS)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1B843BA"/>
    <w:lvl w:ilvl="0">
      <w:start w:val="1"/>
      <w:numFmt w:val="none"/>
      <w:pStyle w:val="Nadpis1"/>
      <w:lvlText w:val="I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I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I.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I.%2.%3.%4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I.%2.%3.%4.%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I.%2.%3.%4.%5.%6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 %1 "/>
      <w:lvlJc w:val="left"/>
      <w:pPr>
        <w:tabs>
          <w:tab w:val="num" w:pos="113"/>
        </w:tabs>
        <w:ind w:left="0" w:firstLine="0"/>
      </w:pPr>
    </w:lvl>
    <w:lvl w:ilvl="1">
      <w:start w:val="1"/>
      <w:numFmt w:val="decimal"/>
      <w:lvlText w:val=" %1.%2 "/>
      <w:lvlJc w:val="left"/>
      <w:pPr>
        <w:tabs>
          <w:tab w:val="num" w:pos="113"/>
        </w:tabs>
        <w:ind w:left="0" w:firstLine="0"/>
      </w:pPr>
    </w:lvl>
    <w:lvl w:ilvl="2">
      <w:start w:val="1"/>
      <w:numFmt w:val="decimal"/>
      <w:lvlText w:val=" %1.%2.%3 "/>
      <w:lvlJc w:val="left"/>
      <w:pPr>
        <w:tabs>
          <w:tab w:val="num" w:pos="113"/>
        </w:tabs>
        <w:ind w:left="0" w:firstLine="0"/>
      </w:pPr>
    </w:lvl>
    <w:lvl w:ilvl="3">
      <w:start w:val="1"/>
      <w:numFmt w:val="decimal"/>
      <w:lvlText w:val=" %1.%2.%3.%4 "/>
      <w:lvlJc w:val="left"/>
      <w:pPr>
        <w:tabs>
          <w:tab w:val="num" w:pos="113"/>
        </w:tabs>
        <w:ind w:left="0" w:firstLine="0"/>
      </w:pPr>
    </w:lvl>
    <w:lvl w:ilvl="4">
      <w:start w:val="1"/>
      <w:numFmt w:val="decimal"/>
      <w:lvlText w:val=" %1.%2.%3.%4.%5 "/>
      <w:lvlJc w:val="left"/>
      <w:pPr>
        <w:tabs>
          <w:tab w:val="num" w:pos="113"/>
        </w:tabs>
        <w:ind w:left="0" w:firstLine="0"/>
      </w:pPr>
    </w:lvl>
    <w:lvl w:ilvl="5">
      <w:start w:val="1"/>
      <w:numFmt w:val="decimal"/>
      <w:lvlText w:val=" %1.%2.%3.%4.%5.%6 "/>
      <w:lvlJc w:val="left"/>
      <w:pPr>
        <w:tabs>
          <w:tab w:val="num" w:pos="113"/>
        </w:tabs>
        <w:ind w:left="0" w:firstLine="0"/>
      </w:pPr>
    </w:lvl>
    <w:lvl w:ilvl="6">
      <w:start w:val="1"/>
      <w:numFmt w:val="decimal"/>
      <w:lvlText w:val=" %1.%2.%3.%4.%5.%6.%7 "/>
      <w:lvlJc w:val="left"/>
      <w:pPr>
        <w:tabs>
          <w:tab w:val="num" w:pos="113"/>
        </w:tabs>
        <w:ind w:left="0" w:firstLine="0"/>
      </w:pPr>
    </w:lvl>
    <w:lvl w:ilvl="7">
      <w:start w:val="1"/>
      <w:numFmt w:val="decimal"/>
      <w:lvlText w:val=" %1.%2.%3.%4.%5.%6.%7.%8 "/>
      <w:lvlJc w:val="left"/>
      <w:pPr>
        <w:tabs>
          <w:tab w:val="num" w:pos="113"/>
        </w:tabs>
        <w:ind w:left="0" w:firstLine="0"/>
      </w:pPr>
    </w:lvl>
    <w:lvl w:ilvl="8">
      <w:start w:val="1"/>
      <w:numFmt w:val="decimal"/>
      <w:lvlText w:val=" %1.%2.%3.%4.%5.%6.%7.%8.%9 "/>
      <w:lvlJc w:val="left"/>
      <w:pPr>
        <w:tabs>
          <w:tab w:val="num" w:pos="113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pStyle w:val="odrkypunt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346DFD"/>
    <w:multiLevelType w:val="hybridMultilevel"/>
    <w:tmpl w:val="315E5458"/>
    <w:lvl w:ilvl="0" w:tplc="550E730A">
      <w:start w:val="1"/>
      <w:numFmt w:val="bullet"/>
      <w:pStyle w:val="Odrkybezmezery"/>
      <w:lvlText w:val="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</w:rPr>
    </w:lvl>
    <w:lvl w:ilvl="1" w:tplc="C3E22838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63B80C5C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6B18F4F4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8F6A64C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4DD69E3C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D75A5872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9530F4D4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1B888692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6" w15:restartNumberingAfterBreak="0">
    <w:nsid w:val="08D47109"/>
    <w:multiLevelType w:val="singleLevel"/>
    <w:tmpl w:val="72E098FA"/>
    <w:name w:val="WW8Num3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33F3B77"/>
    <w:multiLevelType w:val="hybridMultilevel"/>
    <w:tmpl w:val="F45E8432"/>
    <w:lvl w:ilvl="0" w:tplc="FFFFFFFF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8" w15:restartNumberingAfterBreak="0">
    <w:nsid w:val="64030B34"/>
    <w:multiLevelType w:val="hybridMultilevel"/>
    <w:tmpl w:val="A64EAE32"/>
    <w:lvl w:ilvl="0" w:tplc="BF4E85F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E3AE5"/>
    <w:multiLevelType w:val="hybridMultilevel"/>
    <w:tmpl w:val="D1FA0EF8"/>
    <w:lvl w:ilvl="0" w:tplc="995E2D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95E2D8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654C9"/>
    <w:multiLevelType w:val="singleLevel"/>
    <w:tmpl w:val="4A9A6A64"/>
    <w:lvl w:ilvl="0">
      <w:start w:val="1"/>
      <w:numFmt w:val="bullet"/>
      <w:pStyle w:val="odrky"/>
      <w:lvlText w:val="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1" w15:restartNumberingAfterBreak="0">
    <w:nsid w:val="774B56D7"/>
    <w:multiLevelType w:val="singleLevel"/>
    <w:tmpl w:val="5F022AF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1"/>
  </w:num>
  <w:num w:numId="8">
    <w:abstractNumId w:val="4"/>
  </w:num>
  <w:num w:numId="9">
    <w:abstractNumId w:val="9"/>
  </w:num>
  <w:num w:numId="10">
    <w:abstractNumId w:val="8"/>
  </w:num>
  <w:num w:numId="11">
    <w:abstractNumId w:val="3"/>
  </w:num>
  <w:num w:numId="1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8C"/>
    <w:rsid w:val="000014CA"/>
    <w:rsid w:val="00005FE7"/>
    <w:rsid w:val="000150D9"/>
    <w:rsid w:val="00017FB7"/>
    <w:rsid w:val="000208A4"/>
    <w:rsid w:val="00020B48"/>
    <w:rsid w:val="00020E85"/>
    <w:rsid w:val="000220AD"/>
    <w:rsid w:val="000239E5"/>
    <w:rsid w:val="000309DA"/>
    <w:rsid w:val="000324CD"/>
    <w:rsid w:val="00033002"/>
    <w:rsid w:val="000333BD"/>
    <w:rsid w:val="000337FC"/>
    <w:rsid w:val="000343F0"/>
    <w:rsid w:val="00034F7E"/>
    <w:rsid w:val="0004315B"/>
    <w:rsid w:val="00046B9F"/>
    <w:rsid w:val="0005157E"/>
    <w:rsid w:val="0005477D"/>
    <w:rsid w:val="000565C1"/>
    <w:rsid w:val="00057A5D"/>
    <w:rsid w:val="000664F0"/>
    <w:rsid w:val="00066F91"/>
    <w:rsid w:val="00070D52"/>
    <w:rsid w:val="0007480A"/>
    <w:rsid w:val="00076DAC"/>
    <w:rsid w:val="00080591"/>
    <w:rsid w:val="00080D8D"/>
    <w:rsid w:val="00086DFE"/>
    <w:rsid w:val="00094A6B"/>
    <w:rsid w:val="00097655"/>
    <w:rsid w:val="00097B06"/>
    <w:rsid w:val="000A2950"/>
    <w:rsid w:val="000B306B"/>
    <w:rsid w:val="000B3E25"/>
    <w:rsid w:val="000B68B5"/>
    <w:rsid w:val="000B6ACA"/>
    <w:rsid w:val="000B6F67"/>
    <w:rsid w:val="000C2CD9"/>
    <w:rsid w:val="000D1665"/>
    <w:rsid w:val="000D46ED"/>
    <w:rsid w:val="000D48A4"/>
    <w:rsid w:val="000D5456"/>
    <w:rsid w:val="000E1977"/>
    <w:rsid w:val="000F242B"/>
    <w:rsid w:val="000F634D"/>
    <w:rsid w:val="000F7598"/>
    <w:rsid w:val="00100378"/>
    <w:rsid w:val="00102023"/>
    <w:rsid w:val="0010322A"/>
    <w:rsid w:val="00107BE5"/>
    <w:rsid w:val="00110448"/>
    <w:rsid w:val="00122FB6"/>
    <w:rsid w:val="001239C8"/>
    <w:rsid w:val="00127451"/>
    <w:rsid w:val="0013314E"/>
    <w:rsid w:val="001354F0"/>
    <w:rsid w:val="0014325D"/>
    <w:rsid w:val="00145BF9"/>
    <w:rsid w:val="00146A70"/>
    <w:rsid w:val="00155430"/>
    <w:rsid w:val="00163619"/>
    <w:rsid w:val="00163781"/>
    <w:rsid w:val="0016570C"/>
    <w:rsid w:val="001666CE"/>
    <w:rsid w:val="00170AD8"/>
    <w:rsid w:val="001742B1"/>
    <w:rsid w:val="00181EB5"/>
    <w:rsid w:val="00187AFB"/>
    <w:rsid w:val="0019203B"/>
    <w:rsid w:val="00192D9A"/>
    <w:rsid w:val="00194948"/>
    <w:rsid w:val="001A042A"/>
    <w:rsid w:val="001A2A8D"/>
    <w:rsid w:val="001A4998"/>
    <w:rsid w:val="001A51CE"/>
    <w:rsid w:val="001A6DA0"/>
    <w:rsid w:val="001A7846"/>
    <w:rsid w:val="001B0E37"/>
    <w:rsid w:val="001B26D9"/>
    <w:rsid w:val="001B318E"/>
    <w:rsid w:val="001D04C2"/>
    <w:rsid w:val="001D142C"/>
    <w:rsid w:val="001D2042"/>
    <w:rsid w:val="001D4181"/>
    <w:rsid w:val="001D5748"/>
    <w:rsid w:val="001F185A"/>
    <w:rsid w:val="001F3E1F"/>
    <w:rsid w:val="001F55B4"/>
    <w:rsid w:val="001F5DF9"/>
    <w:rsid w:val="001F72EB"/>
    <w:rsid w:val="001F7E22"/>
    <w:rsid w:val="0020057B"/>
    <w:rsid w:val="00200D9D"/>
    <w:rsid w:val="00205198"/>
    <w:rsid w:val="00205633"/>
    <w:rsid w:val="00206366"/>
    <w:rsid w:val="002115EC"/>
    <w:rsid w:val="00212C1B"/>
    <w:rsid w:val="002131A9"/>
    <w:rsid w:val="0021693D"/>
    <w:rsid w:val="0022015F"/>
    <w:rsid w:val="002246A1"/>
    <w:rsid w:val="00233CFA"/>
    <w:rsid w:val="00234210"/>
    <w:rsid w:val="002346DD"/>
    <w:rsid w:val="00235129"/>
    <w:rsid w:val="002353C1"/>
    <w:rsid w:val="00237730"/>
    <w:rsid w:val="00245D18"/>
    <w:rsid w:val="00246F6E"/>
    <w:rsid w:val="00260738"/>
    <w:rsid w:val="00261A39"/>
    <w:rsid w:val="00271E14"/>
    <w:rsid w:val="002730AF"/>
    <w:rsid w:val="0027710C"/>
    <w:rsid w:val="002872D9"/>
    <w:rsid w:val="00290DAD"/>
    <w:rsid w:val="002965FD"/>
    <w:rsid w:val="00296ED3"/>
    <w:rsid w:val="002970D8"/>
    <w:rsid w:val="002A58AE"/>
    <w:rsid w:val="002C30EC"/>
    <w:rsid w:val="002C42D4"/>
    <w:rsid w:val="002C74E6"/>
    <w:rsid w:val="002C780B"/>
    <w:rsid w:val="002C7E35"/>
    <w:rsid w:val="002D159F"/>
    <w:rsid w:val="002E5EB8"/>
    <w:rsid w:val="002F2A7B"/>
    <w:rsid w:val="002F4055"/>
    <w:rsid w:val="002F6D17"/>
    <w:rsid w:val="003000B8"/>
    <w:rsid w:val="0030185A"/>
    <w:rsid w:val="00302117"/>
    <w:rsid w:val="003050F0"/>
    <w:rsid w:val="00311500"/>
    <w:rsid w:val="00313925"/>
    <w:rsid w:val="0031453D"/>
    <w:rsid w:val="00317106"/>
    <w:rsid w:val="00321EE6"/>
    <w:rsid w:val="00331555"/>
    <w:rsid w:val="00331F8C"/>
    <w:rsid w:val="0033267D"/>
    <w:rsid w:val="00336577"/>
    <w:rsid w:val="00337551"/>
    <w:rsid w:val="00342EF2"/>
    <w:rsid w:val="00342FD2"/>
    <w:rsid w:val="003439F5"/>
    <w:rsid w:val="00344CD2"/>
    <w:rsid w:val="0034642A"/>
    <w:rsid w:val="00346441"/>
    <w:rsid w:val="00354FDB"/>
    <w:rsid w:val="003569AA"/>
    <w:rsid w:val="003569AF"/>
    <w:rsid w:val="003663BB"/>
    <w:rsid w:val="00372A16"/>
    <w:rsid w:val="00374327"/>
    <w:rsid w:val="00374907"/>
    <w:rsid w:val="00377511"/>
    <w:rsid w:val="0037766C"/>
    <w:rsid w:val="00381076"/>
    <w:rsid w:val="00385D15"/>
    <w:rsid w:val="00386491"/>
    <w:rsid w:val="003B6EEA"/>
    <w:rsid w:val="003C1E70"/>
    <w:rsid w:val="003C3867"/>
    <w:rsid w:val="003C4F98"/>
    <w:rsid w:val="003D1E22"/>
    <w:rsid w:val="003D2271"/>
    <w:rsid w:val="003E275A"/>
    <w:rsid w:val="003E7356"/>
    <w:rsid w:val="003F54AD"/>
    <w:rsid w:val="003F69EC"/>
    <w:rsid w:val="003F7555"/>
    <w:rsid w:val="00400A60"/>
    <w:rsid w:val="00401C70"/>
    <w:rsid w:val="004022AD"/>
    <w:rsid w:val="004040AA"/>
    <w:rsid w:val="004052DB"/>
    <w:rsid w:val="0040546A"/>
    <w:rsid w:val="00406E5F"/>
    <w:rsid w:val="0041116B"/>
    <w:rsid w:val="0041429E"/>
    <w:rsid w:val="00414ACD"/>
    <w:rsid w:val="004163A5"/>
    <w:rsid w:val="00434484"/>
    <w:rsid w:val="004379D6"/>
    <w:rsid w:val="00442EBE"/>
    <w:rsid w:val="00443701"/>
    <w:rsid w:val="00446975"/>
    <w:rsid w:val="00460B17"/>
    <w:rsid w:val="004628BB"/>
    <w:rsid w:val="004638D0"/>
    <w:rsid w:val="00465009"/>
    <w:rsid w:val="00470F37"/>
    <w:rsid w:val="004713F1"/>
    <w:rsid w:val="004717BE"/>
    <w:rsid w:val="0047361D"/>
    <w:rsid w:val="00480A22"/>
    <w:rsid w:val="00485DDF"/>
    <w:rsid w:val="00485FD0"/>
    <w:rsid w:val="00487F76"/>
    <w:rsid w:val="004943D4"/>
    <w:rsid w:val="004950C4"/>
    <w:rsid w:val="00495753"/>
    <w:rsid w:val="004A509E"/>
    <w:rsid w:val="004B1B47"/>
    <w:rsid w:val="004B410E"/>
    <w:rsid w:val="004B45A4"/>
    <w:rsid w:val="004B7B0D"/>
    <w:rsid w:val="004C11B1"/>
    <w:rsid w:val="004C6300"/>
    <w:rsid w:val="004C7418"/>
    <w:rsid w:val="004D6898"/>
    <w:rsid w:val="004D74FD"/>
    <w:rsid w:val="004E4168"/>
    <w:rsid w:val="004E6D09"/>
    <w:rsid w:val="004E7F75"/>
    <w:rsid w:val="004F4BAC"/>
    <w:rsid w:val="00505B55"/>
    <w:rsid w:val="005068C4"/>
    <w:rsid w:val="005124B3"/>
    <w:rsid w:val="00512CE8"/>
    <w:rsid w:val="00521C73"/>
    <w:rsid w:val="005221ED"/>
    <w:rsid w:val="00522464"/>
    <w:rsid w:val="00525B82"/>
    <w:rsid w:val="005266B6"/>
    <w:rsid w:val="00527F84"/>
    <w:rsid w:val="00530AE2"/>
    <w:rsid w:val="0054050B"/>
    <w:rsid w:val="00546A92"/>
    <w:rsid w:val="0055195D"/>
    <w:rsid w:val="00553CB5"/>
    <w:rsid w:val="00556DE1"/>
    <w:rsid w:val="00557ACB"/>
    <w:rsid w:val="00560702"/>
    <w:rsid w:val="005666A2"/>
    <w:rsid w:val="005671F4"/>
    <w:rsid w:val="00570D2F"/>
    <w:rsid w:val="00575381"/>
    <w:rsid w:val="005777E0"/>
    <w:rsid w:val="00583127"/>
    <w:rsid w:val="00593179"/>
    <w:rsid w:val="005A5209"/>
    <w:rsid w:val="005A5FC4"/>
    <w:rsid w:val="005B7F0B"/>
    <w:rsid w:val="005B7F4C"/>
    <w:rsid w:val="005C250B"/>
    <w:rsid w:val="005C256C"/>
    <w:rsid w:val="005C2D23"/>
    <w:rsid w:val="005D32D0"/>
    <w:rsid w:val="005D3742"/>
    <w:rsid w:val="005D5AEA"/>
    <w:rsid w:val="005E33D6"/>
    <w:rsid w:val="005E438F"/>
    <w:rsid w:val="005E4C5F"/>
    <w:rsid w:val="005E5F6E"/>
    <w:rsid w:val="005E6A44"/>
    <w:rsid w:val="005F04C2"/>
    <w:rsid w:val="005F1653"/>
    <w:rsid w:val="005F4C01"/>
    <w:rsid w:val="005F5681"/>
    <w:rsid w:val="005F68C1"/>
    <w:rsid w:val="00601DD7"/>
    <w:rsid w:val="0060263C"/>
    <w:rsid w:val="00602A3E"/>
    <w:rsid w:val="0060596B"/>
    <w:rsid w:val="006072A6"/>
    <w:rsid w:val="00610A52"/>
    <w:rsid w:val="00622F2D"/>
    <w:rsid w:val="0063067F"/>
    <w:rsid w:val="0063164A"/>
    <w:rsid w:val="00634BE3"/>
    <w:rsid w:val="00637320"/>
    <w:rsid w:val="00640560"/>
    <w:rsid w:val="00643119"/>
    <w:rsid w:val="006435DA"/>
    <w:rsid w:val="00646669"/>
    <w:rsid w:val="00647A6E"/>
    <w:rsid w:val="00655B49"/>
    <w:rsid w:val="00657A18"/>
    <w:rsid w:val="0066196F"/>
    <w:rsid w:val="0066494F"/>
    <w:rsid w:val="006664EB"/>
    <w:rsid w:val="00670174"/>
    <w:rsid w:val="0067499F"/>
    <w:rsid w:val="00674B4B"/>
    <w:rsid w:val="0068053B"/>
    <w:rsid w:val="00681342"/>
    <w:rsid w:val="00681B80"/>
    <w:rsid w:val="006837B1"/>
    <w:rsid w:val="00684AEC"/>
    <w:rsid w:val="0069250D"/>
    <w:rsid w:val="0069263B"/>
    <w:rsid w:val="00693436"/>
    <w:rsid w:val="0069602C"/>
    <w:rsid w:val="006A03B7"/>
    <w:rsid w:val="006A536B"/>
    <w:rsid w:val="006A5B26"/>
    <w:rsid w:val="006B2096"/>
    <w:rsid w:val="006B59DA"/>
    <w:rsid w:val="006C595F"/>
    <w:rsid w:val="006D2345"/>
    <w:rsid w:val="006D4FB9"/>
    <w:rsid w:val="006D5D48"/>
    <w:rsid w:val="006E278A"/>
    <w:rsid w:val="006E3E61"/>
    <w:rsid w:val="006E4B40"/>
    <w:rsid w:val="006E528F"/>
    <w:rsid w:val="006E776A"/>
    <w:rsid w:val="006F1460"/>
    <w:rsid w:val="006F242F"/>
    <w:rsid w:val="006F37A2"/>
    <w:rsid w:val="006F4AC1"/>
    <w:rsid w:val="006F4FE9"/>
    <w:rsid w:val="006F5C38"/>
    <w:rsid w:val="006F773E"/>
    <w:rsid w:val="00701EEE"/>
    <w:rsid w:val="007029DB"/>
    <w:rsid w:val="00714934"/>
    <w:rsid w:val="00716E2B"/>
    <w:rsid w:val="0072089E"/>
    <w:rsid w:val="007254DF"/>
    <w:rsid w:val="00731F6A"/>
    <w:rsid w:val="00734526"/>
    <w:rsid w:val="007370AB"/>
    <w:rsid w:val="00751142"/>
    <w:rsid w:val="007633B9"/>
    <w:rsid w:val="00765761"/>
    <w:rsid w:val="007740E0"/>
    <w:rsid w:val="00774429"/>
    <w:rsid w:val="00780046"/>
    <w:rsid w:val="00780496"/>
    <w:rsid w:val="00781543"/>
    <w:rsid w:val="007819BC"/>
    <w:rsid w:val="0078229F"/>
    <w:rsid w:val="0079002C"/>
    <w:rsid w:val="007970AA"/>
    <w:rsid w:val="00797CD9"/>
    <w:rsid w:val="00797FCD"/>
    <w:rsid w:val="007A0AF8"/>
    <w:rsid w:val="007A0B0B"/>
    <w:rsid w:val="007A0C78"/>
    <w:rsid w:val="007A31CE"/>
    <w:rsid w:val="007A4EB0"/>
    <w:rsid w:val="007B343D"/>
    <w:rsid w:val="007B66EC"/>
    <w:rsid w:val="007B6DD4"/>
    <w:rsid w:val="007C2739"/>
    <w:rsid w:val="007C278B"/>
    <w:rsid w:val="007C50C6"/>
    <w:rsid w:val="007C5CC2"/>
    <w:rsid w:val="007C7BD3"/>
    <w:rsid w:val="007D0B7F"/>
    <w:rsid w:val="007D6478"/>
    <w:rsid w:val="007D6EC5"/>
    <w:rsid w:val="007E02B1"/>
    <w:rsid w:val="007E2CB2"/>
    <w:rsid w:val="007E3612"/>
    <w:rsid w:val="007F0474"/>
    <w:rsid w:val="007F0925"/>
    <w:rsid w:val="008036DF"/>
    <w:rsid w:val="00820206"/>
    <w:rsid w:val="0082129A"/>
    <w:rsid w:val="00834BDC"/>
    <w:rsid w:val="00835738"/>
    <w:rsid w:val="00837BD1"/>
    <w:rsid w:val="0084045C"/>
    <w:rsid w:val="00843DEC"/>
    <w:rsid w:val="0085038B"/>
    <w:rsid w:val="00863EEA"/>
    <w:rsid w:val="008676D3"/>
    <w:rsid w:val="00867BD4"/>
    <w:rsid w:val="00875B72"/>
    <w:rsid w:val="00876D6C"/>
    <w:rsid w:val="00882331"/>
    <w:rsid w:val="00882D29"/>
    <w:rsid w:val="008833D8"/>
    <w:rsid w:val="00884782"/>
    <w:rsid w:val="00893454"/>
    <w:rsid w:val="00895604"/>
    <w:rsid w:val="008A005E"/>
    <w:rsid w:val="008A4A66"/>
    <w:rsid w:val="008C07D1"/>
    <w:rsid w:val="008C25B8"/>
    <w:rsid w:val="008C3BB9"/>
    <w:rsid w:val="008D0DD7"/>
    <w:rsid w:val="008D1591"/>
    <w:rsid w:val="008D2E5D"/>
    <w:rsid w:val="008D2EA4"/>
    <w:rsid w:val="008E310D"/>
    <w:rsid w:val="008E5889"/>
    <w:rsid w:val="008E6037"/>
    <w:rsid w:val="008E61C2"/>
    <w:rsid w:val="008F2A96"/>
    <w:rsid w:val="008F2C12"/>
    <w:rsid w:val="008F35B0"/>
    <w:rsid w:val="008F3A79"/>
    <w:rsid w:val="008F4C10"/>
    <w:rsid w:val="008F62A2"/>
    <w:rsid w:val="008F66EE"/>
    <w:rsid w:val="009022FB"/>
    <w:rsid w:val="0090690B"/>
    <w:rsid w:val="009069AC"/>
    <w:rsid w:val="00911994"/>
    <w:rsid w:val="009124A1"/>
    <w:rsid w:val="00925803"/>
    <w:rsid w:val="009321FF"/>
    <w:rsid w:val="0094107F"/>
    <w:rsid w:val="0094206F"/>
    <w:rsid w:val="009429E3"/>
    <w:rsid w:val="0094324A"/>
    <w:rsid w:val="00943CAD"/>
    <w:rsid w:val="00951A4D"/>
    <w:rsid w:val="009521EC"/>
    <w:rsid w:val="009523E6"/>
    <w:rsid w:val="00952A52"/>
    <w:rsid w:val="00954585"/>
    <w:rsid w:val="00954FF4"/>
    <w:rsid w:val="009555C2"/>
    <w:rsid w:val="00956E16"/>
    <w:rsid w:val="0096310F"/>
    <w:rsid w:val="009675DA"/>
    <w:rsid w:val="009713CA"/>
    <w:rsid w:val="00975001"/>
    <w:rsid w:val="009759EB"/>
    <w:rsid w:val="00976BB0"/>
    <w:rsid w:val="0098011B"/>
    <w:rsid w:val="009801A2"/>
    <w:rsid w:val="009815D4"/>
    <w:rsid w:val="00981606"/>
    <w:rsid w:val="00982685"/>
    <w:rsid w:val="00983DE0"/>
    <w:rsid w:val="00986D80"/>
    <w:rsid w:val="00992B23"/>
    <w:rsid w:val="009935A9"/>
    <w:rsid w:val="009A045A"/>
    <w:rsid w:val="009A0ABC"/>
    <w:rsid w:val="009A42E7"/>
    <w:rsid w:val="009B048E"/>
    <w:rsid w:val="009C2B5A"/>
    <w:rsid w:val="009C3286"/>
    <w:rsid w:val="009C683C"/>
    <w:rsid w:val="009D111B"/>
    <w:rsid w:val="009D31B9"/>
    <w:rsid w:val="009D512C"/>
    <w:rsid w:val="009E0EB5"/>
    <w:rsid w:val="009E2618"/>
    <w:rsid w:val="009E2A65"/>
    <w:rsid w:val="009E2F06"/>
    <w:rsid w:val="009F3614"/>
    <w:rsid w:val="009F6ADD"/>
    <w:rsid w:val="009F7176"/>
    <w:rsid w:val="00A00241"/>
    <w:rsid w:val="00A10642"/>
    <w:rsid w:val="00A11CB3"/>
    <w:rsid w:val="00A20114"/>
    <w:rsid w:val="00A2167C"/>
    <w:rsid w:val="00A240C8"/>
    <w:rsid w:val="00A25CCA"/>
    <w:rsid w:val="00A263C8"/>
    <w:rsid w:val="00A32BBB"/>
    <w:rsid w:val="00A339A5"/>
    <w:rsid w:val="00A347DC"/>
    <w:rsid w:val="00A41E21"/>
    <w:rsid w:val="00A43C19"/>
    <w:rsid w:val="00A50FC8"/>
    <w:rsid w:val="00A51677"/>
    <w:rsid w:val="00A57FBA"/>
    <w:rsid w:val="00A66A2B"/>
    <w:rsid w:val="00A71D3D"/>
    <w:rsid w:val="00A747BE"/>
    <w:rsid w:val="00A9026A"/>
    <w:rsid w:val="00A9653D"/>
    <w:rsid w:val="00A96D71"/>
    <w:rsid w:val="00AA1D71"/>
    <w:rsid w:val="00AA6A8B"/>
    <w:rsid w:val="00AB18ED"/>
    <w:rsid w:val="00AB336A"/>
    <w:rsid w:val="00AB3C6B"/>
    <w:rsid w:val="00AB54EB"/>
    <w:rsid w:val="00AC440E"/>
    <w:rsid w:val="00AC54E0"/>
    <w:rsid w:val="00AC6342"/>
    <w:rsid w:val="00AD0808"/>
    <w:rsid w:val="00AD663A"/>
    <w:rsid w:val="00AE18F8"/>
    <w:rsid w:val="00AE62D8"/>
    <w:rsid w:val="00AF5BD5"/>
    <w:rsid w:val="00B00663"/>
    <w:rsid w:val="00B00C13"/>
    <w:rsid w:val="00B05A51"/>
    <w:rsid w:val="00B068E4"/>
    <w:rsid w:val="00B12EC9"/>
    <w:rsid w:val="00B1571F"/>
    <w:rsid w:val="00B20E8B"/>
    <w:rsid w:val="00B321F0"/>
    <w:rsid w:val="00B333A8"/>
    <w:rsid w:val="00B3763B"/>
    <w:rsid w:val="00B40D98"/>
    <w:rsid w:val="00B41B30"/>
    <w:rsid w:val="00B4503F"/>
    <w:rsid w:val="00B50F6A"/>
    <w:rsid w:val="00B52F78"/>
    <w:rsid w:val="00B54A91"/>
    <w:rsid w:val="00B554D7"/>
    <w:rsid w:val="00B55A81"/>
    <w:rsid w:val="00B56067"/>
    <w:rsid w:val="00B57352"/>
    <w:rsid w:val="00B6233A"/>
    <w:rsid w:val="00B63F24"/>
    <w:rsid w:val="00B71ADC"/>
    <w:rsid w:val="00B73BCD"/>
    <w:rsid w:val="00B74A9A"/>
    <w:rsid w:val="00B75EDB"/>
    <w:rsid w:val="00B821C4"/>
    <w:rsid w:val="00B84C0C"/>
    <w:rsid w:val="00B866A8"/>
    <w:rsid w:val="00B86959"/>
    <w:rsid w:val="00B902BC"/>
    <w:rsid w:val="00B916FE"/>
    <w:rsid w:val="00B94259"/>
    <w:rsid w:val="00B94C99"/>
    <w:rsid w:val="00B97BE8"/>
    <w:rsid w:val="00BA0981"/>
    <w:rsid w:val="00BA2C7C"/>
    <w:rsid w:val="00BA3DED"/>
    <w:rsid w:val="00BA7B53"/>
    <w:rsid w:val="00BB58C2"/>
    <w:rsid w:val="00BC0F3B"/>
    <w:rsid w:val="00BC52C3"/>
    <w:rsid w:val="00BC7CEE"/>
    <w:rsid w:val="00BD1F19"/>
    <w:rsid w:val="00BD3693"/>
    <w:rsid w:val="00BD4EE7"/>
    <w:rsid w:val="00BE0D74"/>
    <w:rsid w:val="00BE32FB"/>
    <w:rsid w:val="00BF0C3D"/>
    <w:rsid w:val="00BF2755"/>
    <w:rsid w:val="00BF7AA6"/>
    <w:rsid w:val="00C00BEB"/>
    <w:rsid w:val="00C0269B"/>
    <w:rsid w:val="00C032EC"/>
    <w:rsid w:val="00C04B76"/>
    <w:rsid w:val="00C04BFE"/>
    <w:rsid w:val="00C05C64"/>
    <w:rsid w:val="00C1092D"/>
    <w:rsid w:val="00C11BAB"/>
    <w:rsid w:val="00C14C7D"/>
    <w:rsid w:val="00C15CF4"/>
    <w:rsid w:val="00C17558"/>
    <w:rsid w:val="00C20509"/>
    <w:rsid w:val="00C209D9"/>
    <w:rsid w:val="00C216D0"/>
    <w:rsid w:val="00C22B1E"/>
    <w:rsid w:val="00C23AA9"/>
    <w:rsid w:val="00C23E8D"/>
    <w:rsid w:val="00C25AE4"/>
    <w:rsid w:val="00C30D89"/>
    <w:rsid w:val="00C32F04"/>
    <w:rsid w:val="00C36517"/>
    <w:rsid w:val="00C3701E"/>
    <w:rsid w:val="00C407C7"/>
    <w:rsid w:val="00C42A74"/>
    <w:rsid w:val="00C45E6D"/>
    <w:rsid w:val="00C5715C"/>
    <w:rsid w:val="00C618E6"/>
    <w:rsid w:val="00C6234E"/>
    <w:rsid w:val="00C629BA"/>
    <w:rsid w:val="00C629FD"/>
    <w:rsid w:val="00C6677D"/>
    <w:rsid w:val="00C67748"/>
    <w:rsid w:val="00C67BF5"/>
    <w:rsid w:val="00C7058F"/>
    <w:rsid w:val="00C70BAB"/>
    <w:rsid w:val="00C728AF"/>
    <w:rsid w:val="00C7432F"/>
    <w:rsid w:val="00C7709E"/>
    <w:rsid w:val="00C854B4"/>
    <w:rsid w:val="00C91E53"/>
    <w:rsid w:val="00C923E9"/>
    <w:rsid w:val="00C94570"/>
    <w:rsid w:val="00C96603"/>
    <w:rsid w:val="00CA22E6"/>
    <w:rsid w:val="00CB1CF5"/>
    <w:rsid w:val="00CB5126"/>
    <w:rsid w:val="00CC3049"/>
    <w:rsid w:val="00CC7B48"/>
    <w:rsid w:val="00CD01ED"/>
    <w:rsid w:val="00CD13A4"/>
    <w:rsid w:val="00CD6FF2"/>
    <w:rsid w:val="00CD783C"/>
    <w:rsid w:val="00CD7BB0"/>
    <w:rsid w:val="00CE039B"/>
    <w:rsid w:val="00CE3C1A"/>
    <w:rsid w:val="00CE4AF0"/>
    <w:rsid w:val="00CF4110"/>
    <w:rsid w:val="00CF43EA"/>
    <w:rsid w:val="00CF5570"/>
    <w:rsid w:val="00CF5C24"/>
    <w:rsid w:val="00D006E0"/>
    <w:rsid w:val="00D0282C"/>
    <w:rsid w:val="00D065D0"/>
    <w:rsid w:val="00D14C73"/>
    <w:rsid w:val="00D15892"/>
    <w:rsid w:val="00D16CEA"/>
    <w:rsid w:val="00D1731A"/>
    <w:rsid w:val="00D23AF8"/>
    <w:rsid w:val="00D25D8B"/>
    <w:rsid w:val="00D30C63"/>
    <w:rsid w:val="00D33B40"/>
    <w:rsid w:val="00D46354"/>
    <w:rsid w:val="00D46F02"/>
    <w:rsid w:val="00D5166D"/>
    <w:rsid w:val="00D54D3C"/>
    <w:rsid w:val="00D5573A"/>
    <w:rsid w:val="00D6197E"/>
    <w:rsid w:val="00D7047D"/>
    <w:rsid w:val="00D71F98"/>
    <w:rsid w:val="00D736CF"/>
    <w:rsid w:val="00D74ABD"/>
    <w:rsid w:val="00D74BC8"/>
    <w:rsid w:val="00D752D7"/>
    <w:rsid w:val="00D75467"/>
    <w:rsid w:val="00D773E9"/>
    <w:rsid w:val="00D8144D"/>
    <w:rsid w:val="00D81663"/>
    <w:rsid w:val="00D818E3"/>
    <w:rsid w:val="00D8506E"/>
    <w:rsid w:val="00D901BE"/>
    <w:rsid w:val="00D91D1C"/>
    <w:rsid w:val="00D922BD"/>
    <w:rsid w:val="00D96E7A"/>
    <w:rsid w:val="00DA146C"/>
    <w:rsid w:val="00DA1540"/>
    <w:rsid w:val="00DA2A70"/>
    <w:rsid w:val="00DB3811"/>
    <w:rsid w:val="00DB4135"/>
    <w:rsid w:val="00DB46EC"/>
    <w:rsid w:val="00DB4895"/>
    <w:rsid w:val="00DB5268"/>
    <w:rsid w:val="00DC19E8"/>
    <w:rsid w:val="00DC5551"/>
    <w:rsid w:val="00DD1DF3"/>
    <w:rsid w:val="00DD277A"/>
    <w:rsid w:val="00DD3DF1"/>
    <w:rsid w:val="00DD5207"/>
    <w:rsid w:val="00DE33DA"/>
    <w:rsid w:val="00DE3810"/>
    <w:rsid w:val="00DE4485"/>
    <w:rsid w:val="00DE592E"/>
    <w:rsid w:val="00DE78B1"/>
    <w:rsid w:val="00DE7DD2"/>
    <w:rsid w:val="00DF2072"/>
    <w:rsid w:val="00DF2893"/>
    <w:rsid w:val="00DF4E29"/>
    <w:rsid w:val="00DF50EB"/>
    <w:rsid w:val="00E0061C"/>
    <w:rsid w:val="00E01928"/>
    <w:rsid w:val="00E0390F"/>
    <w:rsid w:val="00E155D4"/>
    <w:rsid w:val="00E16BA2"/>
    <w:rsid w:val="00E17EDD"/>
    <w:rsid w:val="00E20BAE"/>
    <w:rsid w:val="00E213F4"/>
    <w:rsid w:val="00E25BAC"/>
    <w:rsid w:val="00E3037A"/>
    <w:rsid w:val="00E30F68"/>
    <w:rsid w:val="00E37624"/>
    <w:rsid w:val="00E43858"/>
    <w:rsid w:val="00E448BF"/>
    <w:rsid w:val="00E5197B"/>
    <w:rsid w:val="00E52DEE"/>
    <w:rsid w:val="00E63BF7"/>
    <w:rsid w:val="00E66E9C"/>
    <w:rsid w:val="00E66F86"/>
    <w:rsid w:val="00E716E2"/>
    <w:rsid w:val="00E80C69"/>
    <w:rsid w:val="00E85866"/>
    <w:rsid w:val="00E93440"/>
    <w:rsid w:val="00E93F14"/>
    <w:rsid w:val="00E95813"/>
    <w:rsid w:val="00E95C6C"/>
    <w:rsid w:val="00E95F15"/>
    <w:rsid w:val="00EA025E"/>
    <w:rsid w:val="00EA4BA0"/>
    <w:rsid w:val="00EB6AA1"/>
    <w:rsid w:val="00EC43E7"/>
    <w:rsid w:val="00EC4DF7"/>
    <w:rsid w:val="00EC529F"/>
    <w:rsid w:val="00EC60F0"/>
    <w:rsid w:val="00EC6408"/>
    <w:rsid w:val="00ED2914"/>
    <w:rsid w:val="00ED4253"/>
    <w:rsid w:val="00ED5C6D"/>
    <w:rsid w:val="00EE1F4F"/>
    <w:rsid w:val="00F038AA"/>
    <w:rsid w:val="00F06AB3"/>
    <w:rsid w:val="00F13332"/>
    <w:rsid w:val="00F1338C"/>
    <w:rsid w:val="00F13D83"/>
    <w:rsid w:val="00F208E3"/>
    <w:rsid w:val="00F24AE0"/>
    <w:rsid w:val="00F34879"/>
    <w:rsid w:val="00F4200E"/>
    <w:rsid w:val="00F450D1"/>
    <w:rsid w:val="00F470A8"/>
    <w:rsid w:val="00F502AF"/>
    <w:rsid w:val="00F51FFF"/>
    <w:rsid w:val="00F53E04"/>
    <w:rsid w:val="00F56CE7"/>
    <w:rsid w:val="00F62F13"/>
    <w:rsid w:val="00F64A1F"/>
    <w:rsid w:val="00F6587E"/>
    <w:rsid w:val="00F66501"/>
    <w:rsid w:val="00F72327"/>
    <w:rsid w:val="00F7263C"/>
    <w:rsid w:val="00F74C03"/>
    <w:rsid w:val="00F77D7A"/>
    <w:rsid w:val="00F8020E"/>
    <w:rsid w:val="00F815A3"/>
    <w:rsid w:val="00F86841"/>
    <w:rsid w:val="00F86FF0"/>
    <w:rsid w:val="00F8782C"/>
    <w:rsid w:val="00F9205E"/>
    <w:rsid w:val="00F923F0"/>
    <w:rsid w:val="00F942E5"/>
    <w:rsid w:val="00F954F0"/>
    <w:rsid w:val="00F96656"/>
    <w:rsid w:val="00F96B7C"/>
    <w:rsid w:val="00FA04A7"/>
    <w:rsid w:val="00FA38D2"/>
    <w:rsid w:val="00FA6DE4"/>
    <w:rsid w:val="00FA77DD"/>
    <w:rsid w:val="00FC0FC7"/>
    <w:rsid w:val="00FC509F"/>
    <w:rsid w:val="00FC769D"/>
    <w:rsid w:val="00FD0868"/>
    <w:rsid w:val="00FD5897"/>
    <w:rsid w:val="00FE1C18"/>
    <w:rsid w:val="00FF088B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76B77CC-8EC1-41D0-851E-DE95E030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2A96"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rsid w:val="00954FF4"/>
    <w:pPr>
      <w:keepNext/>
      <w:numPr>
        <w:numId w:val="1"/>
      </w:numPr>
      <w:tabs>
        <w:tab w:val="decimal" w:pos="-2127"/>
      </w:tabs>
      <w:spacing w:before="480"/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rsid w:val="00954FF4"/>
    <w:pPr>
      <w:keepNext/>
      <w:numPr>
        <w:ilvl w:val="1"/>
        <w:numId w:val="1"/>
      </w:numPr>
      <w:spacing w:before="24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954FF4"/>
    <w:pPr>
      <w:keepNext/>
      <w:numPr>
        <w:ilvl w:val="2"/>
        <w:numId w:val="1"/>
      </w:numPr>
      <w:spacing w:before="240"/>
      <w:outlineLvl w:val="2"/>
    </w:pPr>
    <w:rPr>
      <w:b/>
      <w:sz w:val="26"/>
    </w:rPr>
  </w:style>
  <w:style w:type="paragraph" w:styleId="Nadpis4">
    <w:name w:val="heading 4"/>
    <w:basedOn w:val="Nadpis3"/>
    <w:next w:val="Normln"/>
    <w:qFormat/>
    <w:rsid w:val="00954FF4"/>
    <w:pPr>
      <w:numPr>
        <w:ilvl w:val="3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54FF4"/>
    <w:pPr>
      <w:numPr>
        <w:ilvl w:val="4"/>
        <w:numId w:val="1"/>
      </w:numPr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954FF4"/>
    <w:pPr>
      <w:numPr>
        <w:ilvl w:val="5"/>
        <w:numId w:val="1"/>
      </w:numP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rsid w:val="00954FF4"/>
    <w:pPr>
      <w:numPr>
        <w:ilvl w:val="6"/>
        <w:numId w:val="1"/>
      </w:numPr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954FF4"/>
    <w:pPr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954FF4"/>
    <w:pPr>
      <w:numPr>
        <w:ilvl w:val="8"/>
        <w:numId w:val="1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54FF4"/>
    <w:pPr>
      <w:pBdr>
        <w:bottom w:val="dotted" w:sz="4" w:space="1" w:color="auto"/>
      </w:pBdr>
      <w:tabs>
        <w:tab w:val="right" w:pos="9072"/>
      </w:tabs>
      <w:spacing w:before="120"/>
    </w:pPr>
    <w:rPr>
      <w:i/>
      <w:sz w:val="20"/>
    </w:rPr>
  </w:style>
  <w:style w:type="paragraph" w:styleId="Zpat">
    <w:name w:val="footer"/>
    <w:basedOn w:val="Normln"/>
    <w:semiHidden/>
    <w:rsid w:val="00954FF4"/>
    <w:pPr>
      <w:pBdr>
        <w:top w:val="dotted" w:sz="4" w:space="1" w:color="auto"/>
      </w:pBdr>
      <w:tabs>
        <w:tab w:val="center" w:pos="4819"/>
        <w:tab w:val="right" w:pos="9071"/>
      </w:tabs>
      <w:spacing w:before="360"/>
    </w:pPr>
    <w:rPr>
      <w:i/>
      <w:sz w:val="20"/>
    </w:rPr>
  </w:style>
  <w:style w:type="paragraph" w:styleId="Obsah1">
    <w:name w:val="toc 1"/>
    <w:basedOn w:val="Normln"/>
    <w:next w:val="Normln"/>
    <w:uiPriority w:val="39"/>
    <w:rsid w:val="00954FF4"/>
    <w:pPr>
      <w:tabs>
        <w:tab w:val="right" w:leader="dot" w:pos="9050"/>
      </w:tabs>
      <w:spacing w:after="60"/>
      <w:ind w:left="851" w:right="851" w:hanging="851"/>
      <w:jc w:val="left"/>
    </w:pPr>
    <w:rPr>
      <w:caps/>
    </w:rPr>
  </w:style>
  <w:style w:type="paragraph" w:styleId="Obsah2">
    <w:name w:val="toc 2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8"/>
    </w:rPr>
  </w:style>
  <w:style w:type="paragraph" w:styleId="Obsah3">
    <w:name w:val="toc 3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6"/>
    </w:rPr>
  </w:style>
  <w:style w:type="paragraph" w:customStyle="1" w:styleId="Poznmka">
    <w:name w:val="Poznámka"/>
    <w:rsid w:val="00954FF4"/>
    <w:pPr>
      <w:jc w:val="both"/>
    </w:pPr>
    <w:rPr>
      <w:color w:val="000000"/>
    </w:rPr>
  </w:style>
  <w:style w:type="paragraph" w:customStyle="1" w:styleId="Texttabulky">
    <w:name w:val="Text tabulky"/>
    <w:rsid w:val="00954FF4"/>
    <w:pPr>
      <w:jc w:val="both"/>
    </w:pPr>
    <w:rPr>
      <w:color w:val="000000"/>
      <w:sz w:val="24"/>
    </w:rPr>
  </w:style>
  <w:style w:type="character" w:styleId="Odkaznavysvtlivky">
    <w:name w:val="endnote reference"/>
    <w:semiHidden/>
    <w:rsid w:val="00954FF4"/>
    <w:rPr>
      <w:rFonts w:ascii="Arial" w:hAnsi="Arial"/>
      <w:noProof w:val="0"/>
      <w:vertAlign w:val="superscript"/>
      <w:lang w:val="cs-CZ"/>
    </w:rPr>
  </w:style>
  <w:style w:type="character" w:styleId="Znakapoznpodarou">
    <w:name w:val="footnote reference"/>
    <w:semiHidden/>
    <w:rsid w:val="00954FF4"/>
    <w:rPr>
      <w:position w:val="6"/>
      <w:sz w:val="16"/>
    </w:rPr>
  </w:style>
  <w:style w:type="paragraph" w:styleId="Textpoznpodarou">
    <w:name w:val="footnote text"/>
    <w:basedOn w:val="Normln"/>
    <w:semiHidden/>
    <w:rsid w:val="00954FF4"/>
  </w:style>
  <w:style w:type="paragraph" w:customStyle="1" w:styleId="Nadpsekneslovan">
    <w:name w:val="Nadpísek nečíslovaný"/>
    <w:basedOn w:val="Normln"/>
    <w:rsid w:val="00954FF4"/>
    <w:pPr>
      <w:keepNext/>
      <w:spacing w:before="120"/>
    </w:pPr>
    <w:rPr>
      <w:b/>
    </w:rPr>
  </w:style>
  <w:style w:type="character" w:styleId="Odkaznakoment">
    <w:name w:val="annotation reference"/>
    <w:semiHidden/>
    <w:rsid w:val="00954FF4"/>
    <w:rPr>
      <w:sz w:val="16"/>
    </w:rPr>
  </w:style>
  <w:style w:type="paragraph" w:styleId="Textkomente">
    <w:name w:val="annotation text"/>
    <w:basedOn w:val="Normln"/>
    <w:semiHidden/>
    <w:rsid w:val="00954FF4"/>
    <w:rPr>
      <w:sz w:val="20"/>
    </w:rPr>
  </w:style>
  <w:style w:type="paragraph" w:styleId="Textbubliny">
    <w:name w:val="Balloon Text"/>
    <w:basedOn w:val="Normln"/>
    <w:semiHidden/>
    <w:rsid w:val="00954FF4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rsid w:val="00954FF4"/>
    <w:pPr>
      <w:keepNext/>
    </w:pPr>
    <w:rPr>
      <w:b/>
      <w:bCs/>
      <w:caps/>
      <w:sz w:val="32"/>
    </w:rPr>
  </w:style>
  <w:style w:type="paragraph" w:customStyle="1" w:styleId="Odrkybezmezery">
    <w:name w:val="Odrážky bez mezery"/>
    <w:basedOn w:val="Normln"/>
    <w:rsid w:val="00954FF4"/>
    <w:pPr>
      <w:numPr>
        <w:numId w:val="3"/>
      </w:numPr>
      <w:spacing w:after="0"/>
    </w:pPr>
  </w:style>
  <w:style w:type="paragraph" w:customStyle="1" w:styleId="Odrkysmezerou">
    <w:name w:val="Odrážky s mezerou"/>
    <w:basedOn w:val="Normln"/>
    <w:rsid w:val="00954FF4"/>
    <w:pPr>
      <w:tabs>
        <w:tab w:val="num" w:pos="851"/>
      </w:tabs>
      <w:ind w:left="851" w:hanging="425"/>
    </w:pPr>
  </w:style>
  <w:style w:type="paragraph" w:customStyle="1" w:styleId="Odrkyslovan">
    <w:name w:val="Odrážky číslované"/>
    <w:basedOn w:val="Normln"/>
    <w:rsid w:val="00954FF4"/>
    <w:pPr>
      <w:numPr>
        <w:numId w:val="4"/>
      </w:numPr>
      <w:tabs>
        <w:tab w:val="clear" w:pos="360"/>
        <w:tab w:val="num" w:pos="851"/>
      </w:tabs>
      <w:ind w:left="851" w:hanging="425"/>
    </w:pPr>
  </w:style>
  <w:style w:type="paragraph" w:customStyle="1" w:styleId="M">
    <w:name w:val="MŘ"/>
    <w:basedOn w:val="Normln"/>
    <w:rsid w:val="00954FF4"/>
    <w:pPr>
      <w:spacing w:after="0"/>
      <w:jc w:val="left"/>
      <w:outlineLvl w:val="0"/>
    </w:pPr>
    <w:rPr>
      <w:rFonts w:ascii="Arial" w:hAnsi="Arial"/>
    </w:rPr>
  </w:style>
  <w:style w:type="paragraph" w:customStyle="1" w:styleId="Normlnbezmezery">
    <w:name w:val="Normální bez mezery"/>
    <w:basedOn w:val="Normln"/>
    <w:rsid w:val="00954FF4"/>
    <w:pPr>
      <w:spacing w:after="0"/>
    </w:pPr>
  </w:style>
  <w:style w:type="paragraph" w:customStyle="1" w:styleId="Tabulkacentrovan">
    <w:name w:val="Tabulka centrovaná"/>
    <w:basedOn w:val="Normln"/>
    <w:rsid w:val="00954FF4"/>
    <w:pPr>
      <w:spacing w:before="60" w:after="60"/>
      <w:jc w:val="center"/>
      <w:outlineLvl w:val="0"/>
    </w:pPr>
  </w:style>
  <w:style w:type="paragraph" w:styleId="Zkladntext2">
    <w:name w:val="Body Text 2"/>
    <w:basedOn w:val="Normln"/>
    <w:semiHidden/>
    <w:rsid w:val="00954FF4"/>
    <w:pPr>
      <w:spacing w:before="120" w:after="0"/>
      <w:outlineLvl w:val="0"/>
    </w:pPr>
  </w:style>
  <w:style w:type="paragraph" w:styleId="Zkladntextodsazen">
    <w:name w:val="Body Text Indent"/>
    <w:basedOn w:val="Normln"/>
    <w:semiHidden/>
    <w:rsid w:val="00954FF4"/>
    <w:pPr>
      <w:ind w:left="709" w:hanging="709"/>
    </w:pPr>
  </w:style>
  <w:style w:type="paragraph" w:styleId="Zkladntext3">
    <w:name w:val="Body Text 3"/>
    <w:basedOn w:val="Normln"/>
    <w:semiHidden/>
    <w:rsid w:val="00954FF4"/>
    <w:pPr>
      <w:spacing w:before="40" w:after="40" w:line="360" w:lineRule="auto"/>
      <w:ind w:firstLine="567"/>
      <w:jc w:val="left"/>
    </w:pPr>
    <w:rPr>
      <w:snapToGrid w:val="0"/>
    </w:rPr>
  </w:style>
  <w:style w:type="paragraph" w:customStyle="1" w:styleId="odrky">
    <w:name w:val="odrážky"/>
    <w:basedOn w:val="Normln"/>
    <w:rsid w:val="00954FF4"/>
    <w:pPr>
      <w:numPr>
        <w:numId w:val="5"/>
      </w:numPr>
      <w:tabs>
        <w:tab w:val="clear" w:pos="360"/>
        <w:tab w:val="num" w:pos="567"/>
      </w:tabs>
      <w:spacing w:before="120" w:after="0"/>
      <w:ind w:left="567" w:hanging="283"/>
      <w:jc w:val="left"/>
      <w:outlineLvl w:val="0"/>
    </w:pPr>
  </w:style>
  <w:style w:type="paragraph" w:styleId="Zkladntext">
    <w:name w:val="Body Text"/>
    <w:basedOn w:val="Normln"/>
    <w:link w:val="ZkladntextChar"/>
    <w:rsid w:val="00954FF4"/>
    <w:pPr>
      <w:spacing w:after="0"/>
    </w:pPr>
    <w:rPr>
      <w:szCs w:val="24"/>
    </w:rPr>
  </w:style>
  <w:style w:type="paragraph" w:styleId="Seznamsodrkami">
    <w:name w:val="List Bullet"/>
    <w:basedOn w:val="Normln"/>
    <w:autoRedefine/>
    <w:semiHidden/>
    <w:rsid w:val="00954FF4"/>
    <w:pPr>
      <w:numPr>
        <w:numId w:val="2"/>
      </w:numPr>
      <w:spacing w:after="0"/>
    </w:pPr>
  </w:style>
  <w:style w:type="character" w:customStyle="1" w:styleId="articletitle">
    <w:name w:val="articletitle"/>
    <w:basedOn w:val="Standardnpsmoodstavce"/>
    <w:rsid w:val="00954FF4"/>
  </w:style>
  <w:style w:type="paragraph" w:customStyle="1" w:styleId="odrkypuntk">
    <w:name w:val="odrážky puntík"/>
    <w:rsid w:val="0004315B"/>
    <w:pPr>
      <w:numPr>
        <w:numId w:val="6"/>
      </w:numPr>
      <w:suppressAutoHyphens/>
    </w:pPr>
    <w:rPr>
      <w:rFonts w:eastAsia="Arial"/>
      <w:sz w:val="24"/>
      <w:lang w:eastAsia="ar-SA"/>
    </w:rPr>
  </w:style>
  <w:style w:type="table" w:styleId="Mkatabulky">
    <w:name w:val="Table Grid"/>
    <w:basedOn w:val="Normlntabulka"/>
    <w:uiPriority w:val="59"/>
    <w:rsid w:val="009E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C23AA9"/>
    <w:rPr>
      <w:sz w:val="24"/>
      <w:szCs w:val="24"/>
    </w:rPr>
  </w:style>
  <w:style w:type="paragraph" w:customStyle="1" w:styleId="Zkladntext31">
    <w:name w:val="Základní text 31"/>
    <w:rsid w:val="00C6677D"/>
    <w:pPr>
      <w:suppressAutoHyphens/>
      <w:ind w:firstLine="567"/>
    </w:pPr>
    <w:rPr>
      <w:rFonts w:eastAsia="Arial"/>
      <w:color w:val="000000"/>
      <w:sz w:val="24"/>
      <w:lang w:eastAsia="ar-SA"/>
    </w:rPr>
  </w:style>
  <w:style w:type="character" w:styleId="Hypertextovodkaz">
    <w:name w:val="Hyperlink"/>
    <w:uiPriority w:val="99"/>
    <w:unhideWhenUsed/>
    <w:rsid w:val="00C6677D"/>
    <w:rPr>
      <w:color w:val="0000FF"/>
      <w:u w:val="single"/>
    </w:rPr>
  </w:style>
  <w:style w:type="paragraph" w:customStyle="1" w:styleId="Bntextodsazen">
    <w:name w:val="Běžný text odsazený"/>
    <w:basedOn w:val="Normln"/>
    <w:rsid w:val="005777E0"/>
    <w:pPr>
      <w:widowControl w:val="0"/>
      <w:spacing w:before="60" w:after="60" w:line="300" w:lineRule="exact"/>
      <w:ind w:left="567"/>
      <w:jc w:val="left"/>
    </w:pPr>
    <w:rPr>
      <w:rFonts w:ascii="Arial" w:hAnsi="Arial"/>
      <w:sz w:val="20"/>
      <w:szCs w:val="24"/>
    </w:rPr>
  </w:style>
  <w:style w:type="paragraph" w:customStyle="1" w:styleId="Textdopisu">
    <w:name w:val="Text dopisu"/>
    <w:basedOn w:val="Normln"/>
    <w:rsid w:val="001A2A8D"/>
    <w:pPr>
      <w:tabs>
        <w:tab w:val="left" w:pos="2268"/>
        <w:tab w:val="center" w:pos="5670"/>
      </w:tabs>
      <w:spacing w:before="120" w:after="0"/>
      <w:ind w:right="133"/>
    </w:pPr>
  </w:style>
  <w:style w:type="paragraph" w:styleId="Titulek">
    <w:name w:val="caption"/>
    <w:basedOn w:val="Normln"/>
    <w:next w:val="Normln"/>
    <w:qFormat/>
    <w:rsid w:val="009E2618"/>
    <w:pPr>
      <w:spacing w:before="120" w:line="360" w:lineRule="auto"/>
      <w:jc w:val="left"/>
      <w:outlineLvl w:val="0"/>
    </w:pPr>
    <w:rPr>
      <w:b/>
    </w:rPr>
  </w:style>
  <w:style w:type="paragraph" w:styleId="Obsah4">
    <w:name w:val="toc 4"/>
    <w:basedOn w:val="Normln"/>
    <w:next w:val="Normln"/>
    <w:autoRedefine/>
    <w:uiPriority w:val="39"/>
    <w:unhideWhenUsed/>
    <w:rsid w:val="00C67BF5"/>
    <w:pPr>
      <w:spacing w:after="100"/>
      <w:ind w:left="720"/>
    </w:pPr>
  </w:style>
  <w:style w:type="paragraph" w:styleId="Odstavecseseznamem">
    <w:name w:val="List Paragraph"/>
    <w:basedOn w:val="Normln"/>
    <w:uiPriority w:val="34"/>
    <w:qFormat/>
    <w:rsid w:val="005266B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942E5"/>
    <w:rPr>
      <w:b/>
      <w:sz w:val="26"/>
    </w:rPr>
  </w:style>
  <w:style w:type="paragraph" w:customStyle="1" w:styleId="Obsahtabulky">
    <w:name w:val="Obsah tabulky"/>
    <w:basedOn w:val="Normln"/>
    <w:rsid w:val="003C4F98"/>
    <w:pPr>
      <w:widowControl w:val="0"/>
      <w:suppressLineNumbers/>
      <w:suppressAutoHyphens/>
      <w:spacing w:after="0"/>
      <w:jc w:val="left"/>
    </w:pPr>
    <w:rPr>
      <w:rFonts w:ascii="Arial" w:eastAsia="SimSun" w:hAnsi="Arial" w:cs="Tahoma"/>
      <w:kern w:val="1"/>
      <w:sz w:val="20"/>
      <w:szCs w:val="24"/>
      <w:lang w:eastAsia="hi-IN" w:bidi="hi-IN"/>
    </w:rPr>
  </w:style>
  <w:style w:type="character" w:styleId="Sledovanodkaz">
    <w:name w:val="FollowedHyperlink"/>
    <w:basedOn w:val="Standardnpsmoodstavce"/>
    <w:uiPriority w:val="99"/>
    <w:semiHidden/>
    <w:unhideWhenUsed/>
    <w:rsid w:val="002377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BF88B-3321-4510-900B-FAED5C8D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9</Pages>
  <Words>2271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pro písemnosti TBD</vt:lpstr>
    </vt:vector>
  </TitlesOfParts>
  <Company>VD-TBD a. s.</Company>
  <LinksUpToDate>false</LinksUpToDate>
  <CharactersWithSpaces>15644</CharactersWithSpaces>
  <SharedDoc>false</SharedDoc>
  <HLinks>
    <vt:vector size="174" baseType="variant">
      <vt:variant>
        <vt:i4>6094865</vt:i4>
      </vt:variant>
      <vt:variant>
        <vt:i4>144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http://www.technicke-normy-csn.cz/technicke-normy/stavebni-suroviny%2C-materialy-a-vyrobky-72/lomarske-a-kamenicke-vyrobky-%28z-prirodniho-kamene%29-pro-stavebnictvi-7218/(721860)-CSN-72-1860-5403.html</vt:lpwstr>
      </vt:variant>
      <vt:variant>
        <vt:lpwstr/>
      </vt:variant>
      <vt:variant>
        <vt:i4>7078005</vt:i4>
      </vt:variant>
      <vt:variant>
        <vt:i4>141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http://www.technicke-normy-csn.cz/technicke-normy/stavebni-suroviny%2C-materialy-a-vyrobky-72/lomarske-a-kamenicke-vyrobky-%28z-prirodniho-kamene%29-pro-stavebnictvi-7218/(721800)-CSN-72-1800-30833.html</vt:lpwstr>
      </vt:variant>
      <vt:variant>
        <vt:lpwstr/>
      </vt:variant>
      <vt:variant>
        <vt:i4>1572870</vt:i4>
      </vt:variant>
      <vt:variant>
        <vt:i4>138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http://www.technicke-normy-csn.cz/technicke-normy/stavebni-suroviny%2C-materialy-a-vyrobky-72/zkusebni-metody-hornin-a-zemin-7211/(721151)-CSN-72-1151-30775.html</vt:lpwstr>
      </vt:variant>
      <vt:variant>
        <vt:lpwstr/>
      </vt:variant>
      <vt:variant>
        <vt:i4>3342460</vt:i4>
      </vt:variant>
      <vt:variant>
        <vt:i4>135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3342460</vt:i4>
      </vt:variant>
      <vt:variant>
        <vt:i4>132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5373954</vt:i4>
      </vt:variant>
      <vt:variant>
        <vt:i4>129</vt:i4>
      </vt:variant>
      <vt:variant>
        <vt:i4>0</vt:i4>
      </vt:variant>
      <vt:variant>
        <vt:i4>5</vt:i4>
      </vt:variant>
      <vt:variant>
        <vt:lpwstr>http://www.technicke-normy-csn.cz/technicke-normy/navrhovani-a-provadeni-staveb-73/zdene-konstrukce%2C-navrhovani-7311/(731101)-CSN-EN-1996-2-77706.html</vt:lpwstr>
      </vt:variant>
      <vt:variant>
        <vt:lpwstr/>
      </vt:variant>
      <vt:variant>
        <vt:i4>4849750</vt:i4>
      </vt:variant>
      <vt:variant>
        <vt:i4>126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http://www.technicke-normy-csn.cz/technicke-normy/stavebni-suroviny%2C-materialy-a-vyrobky-72/zkusebni-metody-hornin-a-zemin-7211/(721142)-CSN-EN-1926-79068.html</vt:lpwstr>
      </vt:variant>
      <vt:variant>
        <vt:lpwstr/>
      </vt:variant>
      <vt:variant>
        <vt:i4>7864445</vt:i4>
      </vt:variant>
      <vt:variant>
        <vt:i4>123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http://www.technicke-normy-csn.cz/technicke-normy/stavebni-suroviny%2C-materialy-a-vyrobky-72/zkusebni-metody-hornin-a-zemin-7211/(721175)-CSN-EN-1097-1-26530.html</vt:lpwstr>
      </vt:variant>
      <vt:variant>
        <vt:lpwstr/>
      </vt:variant>
      <vt:variant>
        <vt:i4>65551</vt:i4>
      </vt:variant>
      <vt:variant>
        <vt:i4>120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http://www.technicke-normy-csn.cz/technicke-normy/stavebni-suroviny%2C-materialy-a-vyrobky-72/malty%2C-maltove-smesi%2C-potery-7224/(722401)-CSN-EN-998-2-68526.html</vt:lpwstr>
      </vt:variant>
      <vt:variant>
        <vt:lpwstr/>
      </vt:variant>
      <vt:variant>
        <vt:i4>65623</vt:i4>
      </vt:variant>
      <vt:variant>
        <vt:i4>117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http://www.technicke-normy-csn.cz/technicke-normy/stavebni-suroviny%2C-materialy-a-vyrobky-72/cihlarske-palene-vyrobky-7226/(722634)-CSN-EN-771-6-75065.html</vt:lpwstr>
      </vt:variant>
      <vt:variant>
        <vt:lpwstr/>
      </vt:variant>
      <vt:variant>
        <vt:i4>6422586</vt:i4>
      </vt:variant>
      <vt:variant>
        <vt:i4>114</vt:i4>
      </vt:variant>
      <vt:variant>
        <vt:i4>0</vt:i4>
      </vt:variant>
      <vt:variant>
        <vt:i4>5</vt:i4>
      </vt:variant>
      <vt:variant>
        <vt:lpwstr>javascript:detailzmeny(84131);</vt:lpwstr>
      </vt:variant>
      <vt:variant>
        <vt:lpwstr/>
      </vt:variant>
      <vt:variant>
        <vt:i4>7012402</vt:i4>
      </vt:variant>
      <vt:variant>
        <vt:i4>111</vt:i4>
      </vt:variant>
      <vt:variant>
        <vt:i4>0</vt:i4>
      </vt:variant>
      <vt:variant>
        <vt:i4>5</vt:i4>
      </vt:variant>
      <vt:variant>
        <vt:lpwstr>javascript:detailzmeny(78274);</vt:lpwstr>
      </vt:variant>
      <vt:variant>
        <vt:lpwstr/>
      </vt:variant>
      <vt:variant>
        <vt:i4>6291519</vt:i4>
      </vt:variant>
      <vt:variant>
        <vt:i4>108</vt:i4>
      </vt:variant>
      <vt:variant>
        <vt:i4>0</vt:i4>
      </vt:variant>
      <vt:variant>
        <vt:i4>5</vt:i4>
      </vt:variant>
      <vt:variant>
        <vt:lpwstr>javascript:detailzmeny(85371);</vt:lpwstr>
      </vt:variant>
      <vt:variant>
        <vt:lpwstr/>
      </vt:variant>
      <vt:variant>
        <vt:i4>6357043</vt:i4>
      </vt:variant>
      <vt:variant>
        <vt:i4>105</vt:i4>
      </vt:variant>
      <vt:variant>
        <vt:i4>0</vt:i4>
      </vt:variant>
      <vt:variant>
        <vt:i4>5</vt:i4>
      </vt:variant>
      <vt:variant>
        <vt:lpwstr>javascript:detailzmeny(88261);</vt:lpwstr>
      </vt:variant>
      <vt:variant>
        <vt:lpwstr/>
      </vt:variant>
      <vt:variant>
        <vt:i4>6684729</vt:i4>
      </vt:variant>
      <vt:variant>
        <vt:i4>102</vt:i4>
      </vt:variant>
      <vt:variant>
        <vt:i4>0</vt:i4>
      </vt:variant>
      <vt:variant>
        <vt:i4>5</vt:i4>
      </vt:variant>
      <vt:variant>
        <vt:lpwstr>javascript:detailzmeny(82662);</vt:lpwstr>
      </vt:variant>
      <vt:variant>
        <vt:lpwstr/>
      </vt:variant>
      <vt:variant>
        <vt:i4>6553654</vt:i4>
      </vt:variant>
      <vt:variant>
        <vt:i4>99</vt:i4>
      </vt:variant>
      <vt:variant>
        <vt:i4>0</vt:i4>
      </vt:variant>
      <vt:variant>
        <vt:i4>5</vt:i4>
      </vt:variant>
      <vt:variant>
        <vt:lpwstr>javascript:detailzmeny(79029);</vt:lpwstr>
      </vt:variant>
      <vt:variant>
        <vt:lpwstr/>
      </vt:variant>
      <vt:variant>
        <vt:i4>6</vt:i4>
      </vt:variant>
      <vt:variant>
        <vt:i4>96</vt:i4>
      </vt:variant>
      <vt:variant>
        <vt:i4>0</vt:i4>
      </vt:variant>
      <vt:variant>
        <vt:i4>5</vt:i4>
      </vt:variant>
      <vt:variant>
        <vt:lpwstr>javascript:detail(74826);</vt:lpwstr>
      </vt:variant>
      <vt:variant>
        <vt:lpwstr/>
      </vt:variant>
      <vt:variant>
        <vt:i4>65538</vt:i4>
      </vt:variant>
      <vt:variant>
        <vt:i4>93</vt:i4>
      </vt:variant>
      <vt:variant>
        <vt:i4>0</vt:i4>
      </vt:variant>
      <vt:variant>
        <vt:i4>5</vt:i4>
      </vt:variant>
      <vt:variant>
        <vt:lpwstr>javascript:detail(84336);</vt:lpwstr>
      </vt:variant>
      <vt:variant>
        <vt:lpwstr/>
      </vt:variant>
      <vt:variant>
        <vt:i4>6750258</vt:i4>
      </vt:variant>
      <vt:variant>
        <vt:i4>90</vt:i4>
      </vt:variant>
      <vt:variant>
        <vt:i4>0</vt:i4>
      </vt:variant>
      <vt:variant>
        <vt:i4>5</vt:i4>
      </vt:variant>
      <vt:variant>
        <vt:lpwstr>javascript:detailzmeny(89366);</vt:lpwstr>
      </vt:variant>
      <vt:variant>
        <vt:lpwstr/>
      </vt:variant>
      <vt:variant>
        <vt:i4>65536</vt:i4>
      </vt:variant>
      <vt:variant>
        <vt:i4>87</vt:i4>
      </vt:variant>
      <vt:variant>
        <vt:i4>0</vt:i4>
      </vt:variant>
      <vt:variant>
        <vt:i4>5</vt:i4>
      </vt:variant>
      <vt:variant>
        <vt:lpwstr>javascript:detail(84334);</vt:lpwstr>
      </vt:variant>
      <vt:variant>
        <vt:lpwstr/>
      </vt:variant>
      <vt:variant>
        <vt:i4>65543</vt:i4>
      </vt:variant>
      <vt:variant>
        <vt:i4>84</vt:i4>
      </vt:variant>
      <vt:variant>
        <vt:i4>0</vt:i4>
      </vt:variant>
      <vt:variant>
        <vt:i4>5</vt:i4>
      </vt:variant>
      <vt:variant>
        <vt:lpwstr>javascript:detail(84333);</vt:lpwstr>
      </vt:variant>
      <vt:variant>
        <vt:lpwstr/>
      </vt:variant>
      <vt:variant>
        <vt:i4>7274554</vt:i4>
      </vt:variant>
      <vt:variant>
        <vt:i4>81</vt:i4>
      </vt:variant>
      <vt:variant>
        <vt:i4>0</vt:i4>
      </vt:variant>
      <vt:variant>
        <vt:i4>5</vt:i4>
      </vt:variant>
      <vt:variant>
        <vt:lpwstr>javascript:detailzmeny(75321);</vt:lpwstr>
      </vt:variant>
      <vt:variant>
        <vt:lpwstr/>
      </vt:variant>
      <vt:variant>
        <vt:i4>6</vt:i4>
      </vt:variant>
      <vt:variant>
        <vt:i4>78</vt:i4>
      </vt:variant>
      <vt:variant>
        <vt:i4>0</vt:i4>
      </vt:variant>
      <vt:variant>
        <vt:i4>5</vt:i4>
      </vt:variant>
      <vt:variant>
        <vt:lpwstr>javascript:detail(61679);</vt:lpwstr>
      </vt:variant>
      <vt:variant>
        <vt:lpwstr/>
      </vt:variant>
      <vt:variant>
        <vt:i4>65550</vt:i4>
      </vt:variant>
      <vt:variant>
        <vt:i4>75</vt:i4>
      </vt:variant>
      <vt:variant>
        <vt:i4>0</vt:i4>
      </vt:variant>
      <vt:variant>
        <vt:i4>5</vt:i4>
      </vt:variant>
      <vt:variant>
        <vt:lpwstr>javascript:detail(61166);</vt:lpwstr>
      </vt:variant>
      <vt:variant>
        <vt:lpwstr/>
      </vt:variant>
      <vt:variant>
        <vt:i4>262147</vt:i4>
      </vt:variant>
      <vt:variant>
        <vt:i4>72</vt:i4>
      </vt:variant>
      <vt:variant>
        <vt:i4>0</vt:i4>
      </vt:variant>
      <vt:variant>
        <vt:i4>5</vt:i4>
      </vt:variant>
      <vt:variant>
        <vt:lpwstr>javascript:detail(84367);</vt:lpwstr>
      </vt:variant>
      <vt:variant>
        <vt:lpwstr/>
      </vt:variant>
      <vt:variant>
        <vt:i4>262146</vt:i4>
      </vt:variant>
      <vt:variant>
        <vt:i4>69</vt:i4>
      </vt:variant>
      <vt:variant>
        <vt:i4>0</vt:i4>
      </vt:variant>
      <vt:variant>
        <vt:i4>5</vt:i4>
      </vt:variant>
      <vt:variant>
        <vt:lpwstr>javascript:detail(84366);</vt:lpwstr>
      </vt:variant>
      <vt:variant>
        <vt:lpwstr/>
      </vt:variant>
      <vt:variant>
        <vt:i4>262151</vt:i4>
      </vt:variant>
      <vt:variant>
        <vt:i4>66</vt:i4>
      </vt:variant>
      <vt:variant>
        <vt:i4>0</vt:i4>
      </vt:variant>
      <vt:variant>
        <vt:i4>5</vt:i4>
      </vt:variant>
      <vt:variant>
        <vt:lpwstr>javascript:detail(84363);</vt:lpwstr>
      </vt:variant>
      <vt:variant>
        <vt:lpwstr/>
      </vt:variant>
      <vt:variant>
        <vt:i4>262150</vt:i4>
      </vt:variant>
      <vt:variant>
        <vt:i4>63</vt:i4>
      </vt:variant>
      <vt:variant>
        <vt:i4>0</vt:i4>
      </vt:variant>
      <vt:variant>
        <vt:i4>5</vt:i4>
      </vt:variant>
      <vt:variant>
        <vt:lpwstr>javascript:detail(84362);</vt:lpwstr>
      </vt:variant>
      <vt:variant>
        <vt:lpwstr/>
      </vt:variant>
      <vt:variant>
        <vt:i4>393226</vt:i4>
      </vt:variant>
      <vt:variant>
        <vt:i4>60</vt:i4>
      </vt:variant>
      <vt:variant>
        <vt:i4>0</vt:i4>
      </vt:variant>
      <vt:variant>
        <vt:i4>5</vt:i4>
      </vt:variant>
      <vt:variant>
        <vt:lpwstr>javascript:detail(89994);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písemnosti TBD</dc:title>
  <dc:subject>EZ, SEZ, posudky a studie</dc:subject>
  <dc:creator>Ing. Jan Chroumal</dc:creator>
  <cp:lastModifiedBy>Klemša Tomáš</cp:lastModifiedBy>
  <cp:revision>16</cp:revision>
  <cp:lastPrinted>2019-05-31T13:53:00Z</cp:lastPrinted>
  <dcterms:created xsi:type="dcterms:W3CDTF">2019-04-29T12:36:00Z</dcterms:created>
  <dcterms:modified xsi:type="dcterms:W3CDTF">2019-05-31T13:53:00Z</dcterms:modified>
</cp:coreProperties>
</file>